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Merchant buyer's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Merchant buyer's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§2-603. MERCHANT BUYER'S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