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Buyer's options as to salvage of rightfully rejected goods</w:t>
      </w:r>
    </w:p>
    <w:p>
      <w:pPr>
        <w:jc w:val="both"/>
        <w:spacing w:before="100" w:after="100"/>
        <w:ind w:start="360"/>
        <w:ind w:firstLine="360"/>
      </w:pPr>
      <w:r>
        <w:rPr/>
      </w:r>
      <w:r>
        <w:rPr/>
      </w:r>
      <w:r>
        <w:t xml:space="preserve">Subject to the provisions of </w:t>
      </w:r>
      <w:r>
        <w:t>section 2‑603</w:t>
      </w:r>
      <w:r>
        <w:t xml:space="preserve"> on perishables if the seller gives no instructions within a reasonable time after notification of rejection, the buyer may store the rejected goods for the seller's account or reship them to him or resell them for the seller's account with reimbursement as provided in </w:t>
      </w:r>
      <w:r>
        <w:t>section 2‑603</w:t>
      </w:r>
      <w:r>
        <w:t xml:space="preserve">. Such action is not acceptance or conversion.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§2-604. Buyer's options as to salvage of rightfully rejected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Buyer's options as to salvage of rightfully rejected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§2-604. BUYER'S OPTIONS AS TO SALVAGE OF RIGHTFULLY REJECTED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