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§2-703. SELLER'S REMEDIES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