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3-1102</w:t>
        <w:t xml:space="preserve">.  </w:t>
      </w:r>
      <w:r>
        <w:rPr>
          <w:b/>
        </w:rPr>
        <w:t xml:space="preserve">Subject matter</w:t>
      </w:r>
    </w:p>
    <w:p>
      <w:pPr>
        <w:jc w:val="both"/>
        <w:spacing w:before="100" w:after="0"/>
        <w:ind w:start="360"/>
        <w:ind w:firstLine="360"/>
      </w:pPr>
      <w:r>
        <w:rPr>
          <w:b/>
        </w:rPr>
        <w:t>(1)</w:t>
        <w:t xml:space="preserve">.  </w:t>
      </w:r>
      <w:r>
        <w:rPr>
          <w:b/>
        </w:rPr>
      </w:r>
      <w:r>
        <w:t xml:space="preserve"> </w:t>
      </w:r>
      <w:r>
        <w:t xml:space="preserve">This Article applies to negotiable instruments.  It does not apply to money, to payment orders governed by </w:t>
      </w:r>
      <w:r>
        <w:t>Article 4‑A</w:t>
      </w:r>
      <w:r>
        <w:t xml:space="preserve">, or to securities governed by Article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there is conflict between this Article and </w:t>
      </w:r>
      <w:r>
        <w:t>Article 4</w:t>
      </w:r>
      <w:r>
        <w:t xml:space="preserve"> or 9, </w:t>
      </w:r>
      <w:r>
        <w:t>Article 4</w:t>
      </w:r>
      <w:r>
        <w:t xml:space="preserve"> or 9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Regulations of the Board of Governors of the Federal Reserve System and operating circulars of the Federal Reserve Banks supersede any inconsistent provision of this Article to the extent of the inconsistency.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§3-1102. Subject matter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§3-1102. Subject matter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§3-1102. SUBJECT MATTER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