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indicates otherwise, the following terms have the following meanings.</w:t>
      </w:r>
    </w:p>
    <w:p>
      <w:pPr>
        <w:jc w:val="both"/>
        <w:spacing w:before="100" w:after="0"/>
        <w:ind w:start="720"/>
      </w:pPr>
      <w:r>
        <w:rPr/>
        <w:t>(a)</w:t>
        <w:t xml:space="preserve">.  </w:t>
      </w:r>
      <w:r>
        <w:rPr/>
      </w:r>
      <w:r>
        <w:t xml:space="preserve">"Acceptor" means a drawee who has accepted a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"Drawer" means a person who signs or is identified in a draft as a person ordering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§14 (RP); PL 2009, c. 325, Pt. B, §27 (AFF).]</w:t>
      </w:r>
    </w:p>
    <w:p>
      <w:pPr>
        <w:jc w:val="both"/>
        <w:spacing w:before="100" w:after="0"/>
        <w:ind w:start="720"/>
      </w:pPr>
      <w:r>
        <w:rPr/>
        <w:t>(e)</w:t>
        <w:t xml:space="preserve">.  </w:t>
      </w:r>
      <w:r>
        <w:rPr/>
      </w:r>
      <w:r>
        <w:t xml:space="preserve">"Maker" means a person who signs or is identified in a note as a person undertaking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(f)</w:t>
        <w:t xml:space="preserve">.  </w:t>
      </w:r>
      <w:r>
        <w:rPr/>
      </w:r>
      <w:r>
        <w:t xml:space="preserve">"Order"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(g)</w:t>
        <w:t xml:space="preserve">.  </w:t>
      </w:r>
      <w:r>
        <w:rPr/>
      </w:r>
      <w:r>
        <w:t xml:space="preserve">"Ordinary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Article or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(h)</w:t>
        <w:t xml:space="preserve">.  </w:t>
      </w:r>
      <w:r>
        <w:rPr/>
      </w:r>
      <w:r>
        <w:t xml:space="preserve">"Party" means a party to an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(i)</w:t>
        <w:t xml:space="preserve">.  </w:t>
      </w:r>
      <w:r>
        <w:rPr/>
      </w:r>
      <w:r>
        <w:t xml:space="preserve">"Promise" means a written undertaking to pay money signed by the person undertaking to pay.  An acknowledgment of an obligation by the obligor is not a promise unless the obligor also undertakes to pay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(j)</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§15 (AMD); PL 2009, c. 325, Pt. B, §27 (AFF).]</w:t>
      </w:r>
    </w:p>
    <w:p>
      <w:pPr>
        <w:jc w:val="both"/>
        <w:spacing w:before="100" w:after="0"/>
        <w:ind w:start="720"/>
      </w:pPr>
      <w:r>
        <w:rPr/>
        <w:t>(k)</w:t>
        <w:t xml:space="preserve">.  </w:t>
      </w:r>
      <w:r>
        <w:rPr/>
      </w:r>
      <w:r>
        <w:t xml:space="preserve">"Remitter" means a person who purchases an instrument from its issuer if the instrument is payable to an identified person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§§14, 15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608"/>
        <w:gridCol w:w="648"/>
        <w:gridCol w:w="3240"/>
      </w:tblGrid>
      <w:tr>
        <w:trPr>
          <w:cantSplit/>
        </w:trPr>
        <w:tc>
          <w:tcPr>
            <w:tcW w:w="504" w:type="dxa"/>
          </w:tcPr>
          <w:p>
            <w:pPr>
              <w:jc w:val="both"/>
            </w:pPr>
          </w:p>
        </w:tc>
        <w:tc>
          <w:tcPr>
            <w:tcW w:w="4608" w:type="dxa"/>
          </w:tcPr>
          <w:p>
            <w:pPr>
              <w:jc w:val="left"/>
            </w:pPr>
            <w:r>
              <w:t xml:space="preserve">"Acceptance" </w:t>
            </w:r>
          </w:p>
        </w:tc>
        <w:tc>
          <w:tcPr>
            <w:tcW w:w="648" w:type="dxa"/>
          </w:tcPr>
          <w:p>
            <w:pPr>
              <w:jc w:val="both"/>
            </w:pPr>
          </w:p>
        </w:tc>
        <w:tc>
          <w:tcPr>
            <w:tcW w:w="3240" w:type="dxa"/>
          </w:tcPr>
          <w:p>
            <w:pPr>
              <w:jc w:val="left"/>
            </w:pPr>
            <w:r>
              <w:t xml:space="preserve">Section 3‑1409</w:t>
            </w:r>
          </w:p>
        </w:tc>
      </w:tr>
      <w:tr>
        <w:trPr>
          <w:cantSplit/>
        </w:trPr>
        <w:tc>
          <w:tcPr>
            <w:tcW w:w="504" w:type="dxa"/>
          </w:tcPr>
          <w:p>
            <w:pPr>
              <w:jc w:val="both"/>
            </w:pPr>
          </w:p>
        </w:tc>
        <w:tc>
          <w:tcPr>
            <w:tcW w:w="4608" w:type="dxa"/>
          </w:tcPr>
          <w:p>
            <w:pPr>
              <w:jc w:val="left"/>
            </w:pPr>
            <w:r>
              <w:t xml:space="preserve">"Accommodated party"</w:t>
            </w:r>
          </w:p>
        </w:tc>
        <w:tc>
          <w:tcPr>
            <w:tcW w:w="648" w:type="dxa"/>
          </w:tcPr>
          <w:p>
            <w:pPr>
              <w:jc w:val="both"/>
            </w:pPr>
          </w:p>
        </w:tc>
        <w:tc>
          <w:tcPr>
            <w:tcW w:w="3240" w:type="dxa"/>
          </w:tcPr>
          <w:p>
            <w:pPr>
              <w:jc w:val="left"/>
            </w:pPr>
            <w:r>
              <w:t xml:space="preserve">Section 3‑1419</w:t>
            </w:r>
          </w:p>
        </w:tc>
      </w:tr>
      <w:tr>
        <w:trPr>
          <w:cantSplit/>
        </w:trPr>
        <w:tc>
          <w:tcPr>
            <w:tcW w:w="504" w:type="dxa"/>
          </w:tcPr>
          <w:p>
            <w:pPr>
              <w:jc w:val="both"/>
            </w:pPr>
          </w:p>
        </w:tc>
        <w:tc>
          <w:tcPr>
            <w:tcW w:w="4608" w:type="dxa"/>
          </w:tcPr>
          <w:p>
            <w:pPr>
              <w:jc w:val="left"/>
            </w:pPr>
            <w:r>
              <w:t xml:space="preserve">"Accommodation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"Alteration"</w:t>
            </w:r>
          </w:p>
        </w:tc>
        <w:tc>
          <w:tcPr>
            <w:tcW w:w="648" w:type="dxa"/>
          </w:tcPr>
          <w:p>
            <w:pPr>
              <w:jc w:val="both"/>
            </w:pPr>
          </w:p>
        </w:tc>
        <w:tc>
          <w:tcPr>
            <w:tcW w:w="3240" w:type="dxa"/>
          </w:tcPr>
          <w:p>
            <w:pPr>
              <w:jc w:val="left"/>
            </w:pPr>
            <w:r>
              <w:t>Section 3‑1407</w:t>
            </w:r>
          </w:p>
        </w:tc>
      </w:tr>
      <w:tr>
        <w:trPr>
          <w:cantSplit/>
        </w:trPr>
        <w:tc>
          <w:tcPr>
            <w:tcW w:w="504" w:type="dxa"/>
          </w:tcPr>
          <w:p>
            <w:pPr>
              <w:jc w:val="both"/>
            </w:pPr>
          </w:p>
        </w:tc>
        <w:tc>
          <w:tcPr>
            <w:tcW w:w="4608" w:type="dxa"/>
          </w:tcPr>
          <w:p>
            <w:pPr>
              <w:jc w:val="left"/>
            </w:pPr>
            <w:r>
              <w:t xml:space="preserve">"Anomalous indorsement" </w:t>
            </w:r>
          </w:p>
        </w:tc>
        <w:tc>
          <w:tcPr>
            <w:tcW w:w="648" w:type="dxa"/>
          </w:tcPr>
          <w:p>
            <w:pPr>
              <w:jc w:val="both"/>
            </w:pPr>
          </w:p>
        </w:tc>
        <w:tc>
          <w:tcPr>
            <w:tcW w:w="3240" w:type="dxa"/>
          </w:tcPr>
          <w:p>
            <w:pPr>
              <w:jc w:val="left"/>
            </w:pPr>
            <w:r>
              <w:t xml:space="preserve">Section 3‑1205</w:t>
            </w:r>
          </w:p>
        </w:tc>
      </w:tr>
      <w:tr>
        <w:trPr>
          <w:cantSplit/>
        </w:trPr>
        <w:tc>
          <w:tcPr>
            <w:tcW w:w="504" w:type="dxa"/>
          </w:tcPr>
          <w:p>
            <w:pPr>
              <w:jc w:val="both"/>
            </w:pPr>
          </w:p>
        </w:tc>
        <w:tc>
          <w:tcPr>
            <w:tcW w:w="4608" w:type="dxa"/>
          </w:tcPr>
          <w:p>
            <w:pPr>
              <w:jc w:val="left"/>
            </w:pPr>
            <w:r>
              <w:t xml:space="preserve">"Blank indorsement"</w:t>
            </w:r>
          </w:p>
        </w:tc>
        <w:tc>
          <w:tcPr>
            <w:tcW w:w="648" w:type="dxa"/>
          </w:tcPr>
          <w:p>
            <w:pPr>
              <w:jc w:val="both"/>
            </w:pPr>
          </w:p>
        </w:tc>
        <w:tc>
          <w:tcPr>
            <w:tcW w:w="3240" w:type="dxa"/>
          </w:tcPr>
          <w:p>
            <w:pPr>
              <w:jc w:val="left"/>
            </w:pPr>
            <w:r>
              <w:t xml:space="preserve">Section 3‑1205</w:t>
            </w:r>
          </w:p>
        </w:tc>
      </w:tr>
      <w:tr>
        <w:trPr>
          <w:cantSplit/>
        </w:trPr>
        <w:tc>
          <w:tcPr>
            <w:tcW w:w="504" w:type="dxa"/>
          </w:tcPr>
          <w:p>
            <w:pPr>
              <w:jc w:val="both"/>
            </w:pPr>
          </w:p>
        </w:tc>
        <w:tc>
          <w:tcPr>
            <w:tcW w:w="4608" w:type="dxa"/>
          </w:tcPr>
          <w:p>
            <w:pPr>
              <w:jc w:val="left"/>
            </w:pPr>
            <w:r>
              <w:t xml:space="preserve">"Cashier's check"</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"Certificate of deposit"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"Certified check"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"Check" </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"Consideration"</w:t>
            </w:r>
          </w:p>
        </w:tc>
        <w:tc>
          <w:tcPr>
            <w:tcW w:w="648" w:type="dxa"/>
          </w:tcPr>
          <w:p>
            <w:pPr>
              <w:jc w:val="both"/>
            </w:pPr>
          </w:p>
        </w:tc>
        <w:tc>
          <w:tcPr>
            <w:tcW w:w="3240" w:type="dxa"/>
          </w:tcPr>
          <w:p>
            <w:pPr>
              <w:jc w:val="left"/>
            </w:pPr>
            <w:r>
              <w:t xml:space="preserve">Section 3‑1303</w:t>
            </w:r>
          </w:p>
        </w:tc>
      </w:tr>
      <w:tr>
        <w:trPr>
          <w:cantSplit/>
        </w:trPr>
        <w:tc>
          <w:tcPr>
            <w:tcW w:w="504" w:type="dxa"/>
          </w:tcPr>
          <w:p>
            <w:pPr>
              <w:jc w:val="both"/>
            </w:pPr>
          </w:p>
        </w:tc>
        <w:tc>
          <w:tcPr>
            <w:tcW w:w="4608" w:type="dxa"/>
          </w:tcPr>
          <w:p>
            <w:pPr>
              <w:jc w:val="left"/>
            </w:pPr>
            <w:r>
              <w:t xml:space="preserve">"Demand draft"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"Draft"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"Holder in due course"</w:t>
            </w:r>
          </w:p>
        </w:tc>
        <w:tc>
          <w:tcPr>
            <w:tcW w:w="648" w:type="dxa"/>
          </w:tcPr>
          <w:p>
            <w:pPr>
              <w:jc w:val="both"/>
            </w:pPr>
          </w:p>
        </w:tc>
        <w:tc>
          <w:tcPr>
            <w:tcW w:w="3240" w:type="dxa"/>
          </w:tcPr>
          <w:p>
            <w:pPr>
              <w:jc w:val="left"/>
            </w:pPr>
            <w:r>
              <w:t>Section 3‑1302</w:t>
            </w:r>
          </w:p>
        </w:tc>
      </w:tr>
      <w:tr>
        <w:trPr>
          <w:cantSplit/>
        </w:trPr>
        <w:tc>
          <w:tcPr>
            <w:tcW w:w="504" w:type="dxa"/>
          </w:tcPr>
          <w:p>
            <w:pPr>
              <w:jc w:val="both"/>
            </w:pPr>
          </w:p>
        </w:tc>
        <w:tc>
          <w:tcPr>
            <w:tcW w:w="4608" w:type="dxa"/>
          </w:tcPr>
          <w:p>
            <w:pPr>
              <w:jc w:val="left"/>
            </w:pPr>
            <w:r>
              <w:t xml:space="preserve">"Incomplete instrument"</w:t>
            </w:r>
          </w:p>
        </w:tc>
        <w:tc>
          <w:tcPr>
            <w:tcW w:w="648" w:type="dxa"/>
          </w:tcPr>
          <w:p>
            <w:pPr>
              <w:jc w:val="both"/>
            </w:pPr>
          </w:p>
        </w:tc>
        <w:tc>
          <w:tcPr>
            <w:tcW w:w="3240" w:type="dxa"/>
          </w:tcPr>
          <w:p>
            <w:pPr>
              <w:jc w:val="left"/>
            </w:pPr>
            <w:r>
              <w:t>Section 3‑1115</w:t>
            </w:r>
          </w:p>
        </w:tc>
      </w:tr>
      <w:tr>
        <w:trPr>
          <w:cantSplit/>
        </w:trPr>
        <w:tc>
          <w:tcPr>
            <w:tcW w:w="504" w:type="dxa"/>
          </w:tcPr>
          <w:p>
            <w:pPr>
              <w:jc w:val="both"/>
            </w:pPr>
          </w:p>
        </w:tc>
        <w:tc>
          <w:tcPr>
            <w:tcW w:w="4608" w:type="dxa"/>
          </w:tcPr>
          <w:p>
            <w:pPr>
              <w:jc w:val="left"/>
            </w:pPr>
            <w:r>
              <w:t xml:space="preserve">"Indorsement"</w:t>
            </w:r>
          </w:p>
        </w:tc>
        <w:tc>
          <w:tcPr>
            <w:tcW w:w="648" w:type="dxa"/>
          </w:tcPr>
          <w:p>
            <w:pPr>
              <w:jc w:val="both"/>
            </w:pPr>
          </w:p>
        </w:tc>
        <w:tc>
          <w:tcPr>
            <w:tcW w:w="3240" w:type="dxa"/>
          </w:tcPr>
          <w:p>
            <w:pPr>
              <w:jc w:val="left"/>
            </w:pPr>
            <w:r>
              <w:t xml:space="preserve">Section 3‑1204</w:t>
            </w:r>
          </w:p>
        </w:tc>
      </w:tr>
      <w:tr>
        <w:trPr>
          <w:cantSplit/>
        </w:trPr>
        <w:tc>
          <w:tcPr>
            <w:tcW w:w="504" w:type="dxa"/>
          </w:tcPr>
          <w:p>
            <w:pPr>
              <w:jc w:val="both"/>
            </w:pPr>
          </w:p>
        </w:tc>
        <w:tc>
          <w:tcPr>
            <w:tcW w:w="4608" w:type="dxa"/>
          </w:tcPr>
          <w:p>
            <w:pPr>
              <w:jc w:val="left"/>
            </w:pPr>
            <w:r>
              <w:t xml:space="preserve">"Indorser"</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"Instrument"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"Issue"</w:t>
            </w:r>
          </w:p>
        </w:tc>
        <w:tc>
          <w:tcPr>
            <w:tcW w:w="648" w:type="dxa"/>
          </w:tcPr>
          <w:p>
            <w:pPr>
              <w:jc w:val="both"/>
            </w:pPr>
          </w:p>
        </w:tc>
        <w:tc>
          <w:tcPr>
            <w:tcW w:w="3240" w:type="dxa"/>
          </w:tcPr>
          <w:p>
            <w:pPr>
              <w:jc w:val="left"/>
            </w:pPr>
            <w:r>
              <w:t xml:space="preserve">Section 3‑1105</w:t>
            </w:r>
          </w:p>
        </w:tc>
      </w:tr>
      <w:tr>
        <w:trPr>
          <w:cantSplit/>
        </w:trPr>
        <w:tc>
          <w:tcPr>
            <w:tcW w:w="504" w:type="dxa"/>
          </w:tcPr>
          <w:p>
            <w:pPr>
              <w:jc w:val="both"/>
            </w:pPr>
          </w:p>
        </w:tc>
        <w:tc>
          <w:tcPr>
            <w:tcW w:w="4608" w:type="dxa"/>
          </w:tcPr>
          <w:p>
            <w:pPr>
              <w:jc w:val="left"/>
            </w:pPr>
            <w:r>
              <w:t xml:space="preserve">"Issuer"</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"Negotiable instrument" </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"Negotiation"</w:t>
            </w:r>
          </w:p>
        </w:tc>
        <w:tc>
          <w:tcPr>
            <w:tcW w:w="648" w:type="dxa"/>
          </w:tcPr>
          <w:p>
            <w:pPr>
              <w:jc w:val="both"/>
            </w:pPr>
          </w:p>
        </w:tc>
        <w:tc>
          <w:tcPr>
            <w:tcW w:w="3240" w:type="dxa"/>
          </w:tcPr>
          <w:p>
            <w:pPr>
              <w:jc w:val="left"/>
            </w:pPr>
            <w:r>
              <w:t>Section 3‑1201</w:t>
            </w:r>
          </w:p>
        </w:tc>
      </w:tr>
      <w:tr>
        <w:trPr>
          <w:cantSplit/>
        </w:trPr>
        <w:tc>
          <w:tcPr>
            <w:tcW w:w="504" w:type="dxa"/>
          </w:tcPr>
          <w:p>
            <w:pPr>
              <w:jc w:val="both"/>
            </w:pPr>
          </w:p>
        </w:tc>
        <w:tc>
          <w:tcPr>
            <w:tcW w:w="4608" w:type="dxa"/>
          </w:tcPr>
          <w:p>
            <w:pPr>
              <w:jc w:val="left"/>
            </w:pPr>
            <w:r>
              <w:t xml:space="preserve">"Note"</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"Payable at a definite time"</w:t>
            </w:r>
          </w:p>
        </w:tc>
        <w:tc>
          <w:tcPr>
            <w:tcW w:w="648" w:type="dxa"/>
          </w:tcPr>
          <w:p>
            <w:pPr>
              <w:jc w:val="both"/>
            </w:pPr>
          </w:p>
        </w:tc>
        <w:tc>
          <w:tcPr>
            <w:tcW w:w="3240" w:type="dxa"/>
          </w:tcPr>
          <w:p>
            <w:pPr>
              <w:jc w:val="left"/>
            </w:pPr>
            <w:r>
              <w:t xml:space="preserve">Section 3‑1108</w:t>
            </w:r>
          </w:p>
        </w:tc>
      </w:tr>
      <w:tr>
        <w:trPr>
          <w:cantSplit/>
        </w:trPr>
        <w:tc>
          <w:tcPr>
            <w:tcW w:w="504" w:type="dxa"/>
          </w:tcPr>
          <w:p>
            <w:pPr>
              <w:jc w:val="both"/>
            </w:pPr>
          </w:p>
        </w:tc>
        <w:tc>
          <w:tcPr>
            <w:tcW w:w="4608" w:type="dxa"/>
          </w:tcPr>
          <w:p>
            <w:pPr>
              <w:jc w:val="left"/>
            </w:pPr>
            <w:r>
              <w:t xml:space="preserve">"Payable on demand"</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to bearer"</w:t>
            </w:r>
          </w:p>
        </w:tc>
        <w:tc>
          <w:tcPr>
            <w:tcW w:w="648" w:type="dxa"/>
          </w:tcPr>
          <w:p>
            <w:pPr>
              <w:jc w:val="both"/>
            </w:pPr>
          </w:p>
        </w:tc>
        <w:tc>
          <w:tcPr>
            <w:tcW w:w="3240" w:type="dxa"/>
          </w:tcPr>
          <w:p>
            <w:pPr>
              <w:jc w:val="left"/>
            </w:pPr>
            <w:r>
              <w:t xml:space="preserve">Section 3‑1109</w:t>
            </w:r>
          </w:p>
        </w:tc>
      </w:tr>
      <w:tr>
        <w:trPr>
          <w:cantSplit/>
        </w:trPr>
        <w:tc>
          <w:tcPr>
            <w:tcW w:w="504" w:type="dxa"/>
          </w:tcPr>
          <w:p>
            <w:pPr>
              <w:jc w:val="both"/>
            </w:pPr>
          </w:p>
        </w:tc>
        <w:tc>
          <w:tcPr>
            <w:tcW w:w="4608" w:type="dxa"/>
          </w:tcPr>
          <w:p>
            <w:pPr>
              <w:jc w:val="left"/>
            </w:pPr>
            <w:r>
              <w:t xml:space="preserve">"Payable to order"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"Payment"</w:t>
            </w:r>
          </w:p>
        </w:tc>
        <w:tc>
          <w:tcPr>
            <w:tcW w:w="648" w:type="dxa"/>
          </w:tcPr>
          <w:p>
            <w:pPr>
              <w:jc w:val="both"/>
            </w:pPr>
          </w:p>
        </w:tc>
        <w:tc>
          <w:tcPr>
            <w:tcW w:w="3240" w:type="dxa"/>
          </w:tcPr>
          <w:p>
            <w:pPr>
              <w:jc w:val="left"/>
            </w:pPr>
            <w:r>
              <w:t>Section 3‑1602</w:t>
            </w:r>
          </w:p>
        </w:tc>
      </w:tr>
      <w:tr>
        <w:trPr>
          <w:cantSplit/>
        </w:trPr>
        <w:tc>
          <w:tcPr>
            <w:tcW w:w="504" w:type="dxa"/>
          </w:tcPr>
          <w:p>
            <w:pPr>
              <w:jc w:val="both"/>
            </w:pPr>
          </w:p>
        </w:tc>
        <w:tc>
          <w:tcPr>
            <w:tcW w:w="4608" w:type="dxa"/>
          </w:tcPr>
          <w:p>
            <w:pPr>
              <w:jc w:val="left"/>
            </w:pPr>
            <w:r>
              <w:t xml:space="preserve">"Person entitled to enforce"</w:t>
            </w:r>
          </w:p>
        </w:tc>
        <w:tc>
          <w:tcPr>
            <w:tcW w:w="648" w:type="dxa"/>
          </w:tcPr>
          <w:p>
            <w:pPr>
              <w:jc w:val="both"/>
            </w:pPr>
          </w:p>
        </w:tc>
        <w:tc>
          <w:tcPr>
            <w:tcW w:w="3240" w:type="dxa"/>
          </w:tcPr>
          <w:p>
            <w:pPr>
              <w:jc w:val="left"/>
            </w:pPr>
            <w:r>
              <w:t>Section 3‑1301</w:t>
            </w:r>
          </w:p>
        </w:tc>
      </w:tr>
      <w:tr>
        <w:trPr>
          <w:cantSplit/>
        </w:trPr>
        <w:tc>
          <w:tcPr>
            <w:tcW w:w="504" w:type="dxa"/>
          </w:tcPr>
          <w:p>
            <w:pPr>
              <w:jc w:val="both"/>
            </w:pPr>
          </w:p>
        </w:tc>
        <w:tc>
          <w:tcPr>
            <w:tcW w:w="4608" w:type="dxa"/>
          </w:tcPr>
          <w:p>
            <w:pPr>
              <w:jc w:val="left"/>
            </w:pPr>
            <w:r>
              <w:t xml:space="preserve">"Presentment" </w:t>
            </w:r>
          </w:p>
        </w:tc>
        <w:tc>
          <w:tcPr>
            <w:tcW w:w="648" w:type="dxa"/>
          </w:tcPr>
          <w:p>
            <w:pPr>
              <w:jc w:val="both"/>
            </w:pPr>
          </w:p>
        </w:tc>
        <w:tc>
          <w:tcPr>
            <w:tcW w:w="3240" w:type="dxa"/>
          </w:tcPr>
          <w:p>
            <w:pPr>
              <w:jc w:val="left"/>
            </w:pPr>
            <w:r>
              <w:t>Section 3‑1501</w:t>
            </w:r>
          </w:p>
        </w:tc>
      </w:tr>
      <w:tr>
        <w:trPr>
          <w:cantSplit/>
        </w:trPr>
        <w:tc>
          <w:tcPr>
            <w:tcW w:w="504" w:type="dxa"/>
          </w:tcPr>
          <w:p>
            <w:pPr>
              <w:jc w:val="both"/>
            </w:pPr>
          </w:p>
        </w:tc>
        <w:tc>
          <w:tcPr>
            <w:tcW w:w="4608" w:type="dxa"/>
          </w:tcPr>
          <w:p>
            <w:pPr>
              <w:jc w:val="left"/>
            </w:pPr>
            <w:r>
              <w:t xml:space="preserve">"Reacquisition"</w:t>
            </w:r>
          </w:p>
        </w:tc>
        <w:tc>
          <w:tcPr>
            <w:tcW w:w="648" w:type="dxa"/>
          </w:tcPr>
          <w:p>
            <w:pPr>
              <w:jc w:val="both"/>
            </w:pPr>
          </w:p>
        </w:tc>
        <w:tc>
          <w:tcPr>
            <w:tcW w:w="3240" w:type="dxa"/>
          </w:tcPr>
          <w:p>
            <w:pPr>
              <w:jc w:val="left"/>
            </w:pPr>
            <w:r>
              <w:t>Section 3‑1207</w:t>
            </w:r>
          </w:p>
        </w:tc>
      </w:tr>
      <w:tr>
        <w:trPr>
          <w:cantSplit/>
        </w:trPr>
        <w:tc>
          <w:tcPr>
            <w:tcW w:w="504" w:type="dxa"/>
          </w:tcPr>
          <w:p>
            <w:pPr>
              <w:jc w:val="both"/>
            </w:pPr>
          </w:p>
        </w:tc>
        <w:tc>
          <w:tcPr>
            <w:tcW w:w="4608" w:type="dxa"/>
          </w:tcPr>
          <w:p>
            <w:pPr>
              <w:jc w:val="left"/>
            </w:pPr>
            <w:r>
              <w:t xml:space="preserve">"Special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"Teller's check"</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"Transfer of instrument"</w:t>
            </w:r>
          </w:p>
        </w:tc>
        <w:tc>
          <w:tcPr>
            <w:tcW w:w="648" w:type="dxa"/>
          </w:tcPr>
          <w:p>
            <w:pPr>
              <w:jc w:val="both"/>
            </w:pPr>
          </w:p>
        </w:tc>
        <w:tc>
          <w:tcPr>
            <w:tcW w:w="3240" w:type="dxa"/>
          </w:tcPr>
          <w:p>
            <w:pPr>
              <w:jc w:val="left"/>
            </w:pPr>
            <w:r>
              <w:t>Section 3‑1203</w:t>
            </w:r>
          </w:p>
        </w:tc>
      </w:tr>
      <w:tr>
        <w:trPr>
          <w:cantSplit/>
        </w:trPr>
        <w:tc>
          <w:tcPr>
            <w:tcW w:w="504" w:type="dxa"/>
          </w:tcPr>
          <w:p>
            <w:pPr>
              <w:jc w:val="both"/>
            </w:pPr>
          </w:p>
        </w:tc>
        <w:tc>
          <w:tcPr>
            <w:tcW w:w="4608" w:type="dxa"/>
          </w:tcPr>
          <w:p>
            <w:pPr>
              <w:jc w:val="left"/>
            </w:pPr>
            <w:r>
              <w:t xml:space="preserve">"Traveler's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"Value"</w:t>
            </w:r>
          </w:p>
        </w:tc>
        <w:tc>
          <w:tcPr>
            <w:tcW w:w="648" w:type="dxa"/>
          </w:tcPr>
          <w:p>
            <w:pPr>
              <w:jc w:val="both"/>
            </w:pPr>
          </w:p>
        </w:tc>
        <w:tc>
          <w:tcPr>
            <w:tcW w:w="3240" w:type="dxa"/>
          </w:tcPr>
          <w:p>
            <w:pPr>
              <w:jc w:val="left"/>
            </w:pPr>
            <w:r>
              <w:t>Section 3‑1303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 (AMD).]</w:t>
      </w:r>
    </w:p>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720"/>
        <w:gridCol w:w="3600"/>
      </w:tblGrid>
      <w:tr>
        <w:trPr>
          <w:cantSplit/>
        </w:trPr>
        <w:tc>
          <w:tcPr>
            <w:tcW w:w="547" w:type="dxa"/>
          </w:tcPr>
          <w:p>
            <w:pPr>
              <w:jc w:val="both"/>
            </w:pPr>
          </w:p>
        </w:tc>
        <w:tc>
          <w:tcPr>
            <w:tcW w:w="3931" w:type="dxa"/>
          </w:tcPr>
          <w:p>
            <w:pPr>
              <w:jc w:val="left"/>
            </w:pPr>
            <w:r>
              <w:t xml:space="preserve">"Bank"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"Banking day"</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"Clearing house"</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"Collecting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"Depositary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"Documentary draft" </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"Intermediary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"Item"</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"Payor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"Suspends payments"</w:t>
            </w:r>
          </w:p>
        </w:tc>
        <w:tc>
          <w:tcPr>
            <w:tcW w:w="720" w:type="dxa"/>
          </w:tcPr>
          <w:p>
            <w:pPr>
              <w:jc w:val="both"/>
            </w:pPr>
          </w:p>
        </w:tc>
        <w:tc>
          <w:tcPr>
            <w:tcW w:w="3600"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§1 (AMD). PL 2009, c. 325, Pt. B, §§14, 15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