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§3-1420. CONVERSION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