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5-1103</w:t>
        <w:t xml:space="preserve">.  </w:t>
      </w:r>
      <w:r>
        <w:rPr>
          <w:b/>
        </w:rPr>
        <w:t xml:space="preserve">Scope</w:t>
      </w:r>
    </w:p>
    <w:p>
      <w:pPr>
        <w:jc w:val="both"/>
        <w:spacing w:before="100" w:after="0"/>
        <w:ind w:start="360"/>
        <w:ind w:firstLine="360"/>
      </w:pPr>
      <w:r>
        <w:rPr>
          <w:b/>
        </w:rPr>
        <w:t>(1)</w:t>
        <w:t xml:space="preserve">.  </w:t>
      </w:r>
      <w:r>
        <w:rPr>
          <w:b/>
        </w:rPr>
      </w:r>
      <w:r>
        <w:t xml:space="preserve"> </w:t>
      </w:r>
      <w:r>
        <w:t xml:space="preserve">This Article applies to letters of credit and to certain rights and obligations arising out of transactions involving letters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statement of a rule in this Article does not by itself require, imply or negate application of the same or a different rule to a situation not provided for, or to a person not specified,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With the exception of this subsection, </w:t>
      </w:r>
      <w:r>
        <w:t>subsections (1)</w:t>
      </w:r>
      <w:r>
        <w:t xml:space="preserve"> and </w:t>
      </w:r>
      <w:r>
        <w:t>(4)</w:t>
      </w:r>
      <w:r>
        <w:t xml:space="preserve">, </w:t>
      </w:r>
      <w:r>
        <w:t>section 5‑1102, subsection (1), paragraphs (i)</w:t>
      </w:r>
      <w:r>
        <w:t xml:space="preserve"> and </w:t>
      </w:r>
      <w:r>
        <w:t>(j)</w:t>
      </w:r>
      <w:r>
        <w:t xml:space="preserve">, </w:t>
      </w:r>
      <w:r>
        <w:t>section 5‑1106, subsection (4)</w:t>
      </w:r>
      <w:r>
        <w:t xml:space="preserve">, and </w:t>
      </w:r>
      <w:r>
        <w:t>section 5‑1114, subsection (4)</w:t>
      </w:r>
      <w:r>
        <w:t xml:space="preserve">, and except to the extent prohibited in </w:t>
      </w:r>
      <w:r>
        <w:t>section 1‑1302</w:t>
      </w:r>
      <w:r>
        <w:t xml:space="preserve"> and </w:t>
      </w:r>
      <w:r>
        <w:t>section 5‑1117, subsection (4)</w:t>
      </w:r>
      <w:r>
        <w:t xml:space="preserve">, the effect of this Article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§22 (AMD); PL 2009, c. 325, Pt. B, §27 (AFF).]</w:t>
      </w:r>
    </w:p>
    <w:p>
      <w:pPr>
        <w:jc w:val="both"/>
        <w:spacing w:before="100" w:after="0"/>
        <w:ind w:start="360"/>
        <w:ind w:firstLine="360"/>
      </w:pPr>
      <w:r>
        <w:rPr>
          <w:b/>
        </w:rPr>
        <w:t>(4)</w:t>
        <w:t xml:space="preserve">.  </w:t>
      </w:r>
      <w:r>
        <w:rPr>
          <w:b/>
        </w:rPr>
      </w:r>
      <w:r>
        <w:t xml:space="preserve">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325, Pt. B, §22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