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5-1112</w:t>
        <w:t xml:space="preserve">.  </w:t>
      </w:r>
      <w:r>
        <w:rPr>
          <w:b/>
        </w:rPr>
        <w:t xml:space="preserve">Transfer of letter of credit</w:t>
      </w:r>
    </w:p>
    <w:p>
      <w:pPr>
        <w:jc w:val="both"/>
        <w:spacing w:before="100" w:after="0"/>
        <w:ind w:start="360"/>
        <w:ind w:firstLine="360"/>
      </w:pPr>
      <w:r>
        <w:rPr>
          <w:b/>
        </w:rPr>
        <w:t>(1)</w:t>
        <w:t xml:space="preserve">.  </w:t>
      </w:r>
      <w:r>
        <w:rPr>
          <w:b/>
        </w:rPr>
      </w:r>
      <w:r>
        <w:t xml:space="preserve"> </w:t>
      </w:r>
      <w:r>
        <w:t xml:space="preserve">Except as otherwise provided in </w:t>
      </w:r>
      <w:r>
        <w:t>section 5‑1113</w:t>
      </w:r>
      <w:r>
        <w:t xml:space="preserve">, unless a letter of credit provides that it is transferable, the right of a beneficiary to draw or otherwise demand performance under a letter of credit may not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Even if a letter of credit provides that it is transferable, the issuer may refuse to recognize or carry out a transfer if:</w:t>
      </w:r>
    </w:p>
    <w:p>
      <w:pPr>
        <w:jc w:val="both"/>
        <w:spacing w:before="100" w:after="0"/>
        <w:ind w:start="720"/>
      </w:pPr>
      <w:r>
        <w:rPr/>
        <w:t>(a)</w:t>
        <w:t xml:space="preserve">.  </w:t>
      </w:r>
      <w:r>
        <w:rPr/>
      </w:r>
      <w:r>
        <w:t xml:space="preserve">the transfer would violate applicable law;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transferor or transferee has failed to comply with any requirement stated in the letter of credit or any other requirement relating to transfer imposed by the issuer that is within the standard practice referred to in </w:t>
      </w:r>
      <w:r>
        <w:t>section 5‑1108, subsection (5)</w:t>
      </w:r>
      <w:r>
        <w:t xml:space="preserve"> or is otherwise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§5-1112. Transfer of letter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§5-1112. Transfer of letter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§5-1112. TRANSFER OF LETTER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