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7-1204</w:t>
        <w:t xml:space="preserve">.  </w:t>
      </w:r>
      <w:r>
        <w:rPr>
          <w:b/>
        </w:rPr>
        <w:t xml:space="preserve">Duty of care; contractual limitation of warehouse's liability</w:t>
      </w:r>
    </w:p>
    <w:p>
      <w:pPr>
        <w:jc w:val="both"/>
        <w:spacing w:before="100" w:after="0"/>
        <w:ind w:start="360"/>
        <w:ind w:firstLine="360"/>
      </w:pPr>
      <w:r>
        <w:rPr>
          <w:b/>
        </w:rPr>
        <w:t>(1)</w:t>
        <w:t xml:space="preserve">.  </w:t>
      </w:r>
      <w:r>
        <w:rPr>
          <w:b/>
        </w:rPr>
      </w:r>
      <w:r>
        <w:t xml:space="preserve"> </w:t>
      </w:r>
      <w:r>
        <w:t xml:space="preserve">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warehouse receipt or storage agreement limiting the amount of liability in case of loss or damage beyond which the warehouse is not liable.  Such a limitation is not effective with respect to the warehouse's liability for conversion to its own use.  On request of the bailor in a record at the time of signing the storage agreement or within a reasonable time after receipt of the warehouse receipt, the warehouse's liability may be increased on part or all of the goods covered by the storage agreement or the warehouse receipt. In this event, increased rates may be charged based on an increased valuation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bailment may be included in the warehouse receipt or storage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§7-1204. Duty of care; contractual limitation of warehouse's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§7-1204. Duty of care; contractual limitation of warehouse's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§7-1204. DUTY OF CARE; CONTRACTUAL LIMITATION OF WAREHOUSE'S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