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§7-1206. TERMINATION OF STORAGE AT WAREHOUSE'S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