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8-1103</w:t>
        <w:t xml:space="preserve">.  </w:t>
      </w:r>
      <w:r>
        <w:rPr>
          <w:b/>
        </w:rPr>
        <w:t xml:space="preserve">Rules for determining whether certain obligations and interests are securities or financial assets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share or similar equity interest issued by a corporation, business trust, joint stock company or similar entity is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interest in a partnership or limited liability company is not a security unless it is dealt in or traded on securities exchanges or in securities markets, its terms expressly provide that it is a security governed by this Article or it is an investment company security.  An interest in a partnership or limited liability company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writing that is a security certificate is governed by this Article and not by </w:t>
      </w:r>
      <w:r>
        <w:t>Article 3‑A</w:t>
      </w:r>
      <w:r>
        <w:t xml:space="preserve">, even though it also meets the requirements of that Article.  A negotiable instrument governed by Article 3‑A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option or similar obligation issued by a clearing corporation to its participants is not a security, but is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commodity contract, as defined in </w:t>
      </w:r>
      <w:r>
        <w:t>section 9‑1102, subsection (15)</w:t>
      </w:r>
      <w:r>
        <w:t xml:space="preserve">, is not a security or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§20 (AMD); PL 1999, c. 699, Pt. B, §28 (AFF).]</w:t>
      </w:r>
    </w:p>
    <w:p>
      <w:pPr>
        <w:jc w:val="both"/>
        <w:spacing w:before="100" w:after="0"/>
        <w:ind w:start="360"/>
        <w:ind w:firstLine="360"/>
      </w:pPr>
      <w:r>
        <w:rPr>
          <w:b/>
        </w:rPr>
        <w:t>(7)</w:t>
        <w:t xml:space="preserve">.  </w:t>
      </w:r>
      <w:r>
        <w:rPr>
          <w:b/>
        </w:rPr>
      </w:r>
      <w:r>
        <w:t xml:space="preserve"> </w:t>
      </w:r>
      <w:r>
        <w:t xml:space="preserve">A document of title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§26 (NEW); PL 2009, c. 324, Pt. B, §48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controllable account, controllable electronic record or controllable payment intangible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§B20 (AMD). PL 1999, c. 699, §B28 (AFF). PL 2009, c. 324, Pt. B, §26 (AMD). PL 2009, c. 324, Pt. B, §48 (AFF). PL 2023, c. 669, Pt. A, §59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§8-1103. Rules for determining whether certain obligations and interests are securities or financial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§8-1103. Rules for determining whether certain obligations and interests are securities or financial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§8-1103. RULES FOR DETERMINING WHETHER CERTAIN OBLIGATIONS AND INTERESTS ARE SECURITIES OR FINANCIAL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