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8-1116</w:t>
        <w:t xml:space="preserve">.  </w:t>
      </w:r>
      <w:r>
        <w:rPr>
          <w:b/>
        </w:rPr>
        <w:t xml:space="preserve">Securities intermediary as purchaser for value</w:t>
      </w:r>
    </w:p>
    <w:p>
      <w:pPr>
        <w:jc w:val="both"/>
        <w:spacing w:before="100" w:after="100"/>
        <w:ind w:start="360"/>
        <w:ind w:firstLine="360"/>
      </w:pPr>
      <w:r>
        <w:rPr/>
      </w:r>
      <w:r>
        <w:rPr/>
      </w:r>
      <w: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§8-1116. Securities intermediary as purchaser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§8-1116. Securities intermediary as purchaser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§8-1116. SECURITIES INTERMEDIARY AS PURCHASER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