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§8-1401. Duty of issuer to register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§8-1401. Duty of issuer to register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§8-1401. DUTY OF ISSUER TO REGISTER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