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§8-1503. PROPERTY INTEREST OF ENTITLEMENT HOLDER IN FINANCIAL ASSET HELD BY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