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8-1506</w:t>
        <w:t xml:space="preserve">.  </w:t>
      </w:r>
      <w:r>
        <w:rPr>
          <w:b/>
        </w:rPr>
        <w:t xml:space="preserve">Duty of securities intermediary to exercise rights as directed by entitlement holder</w:t>
      </w:r>
    </w:p>
    <w:p>
      <w:pPr>
        <w:jc w:val="both"/>
        <w:spacing w:before="100" w:after="100"/>
        <w:ind w:start="360"/>
        <w:ind w:firstLine="360"/>
      </w:pPr>
      <w:r>
        <w:rPr/>
      </w:r>
      <w:r>
        <w:rPr/>
      </w:r>
      <w:r>
        <w:t xml:space="preserve">A securities intermediary shall exercise rights with respect to a financial asset if directed to do so by an entitlement holder.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with respect to the duty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either places the entitlement holder in a position to exercise the rights directly or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§8-1506. Duty of securities intermediary to exercise rights as directed by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§8-1506. Duty of securities intermediary to exercise rights as directed by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§8-1506. DUTY OF SECURITIES INTERMEDIARY TO EXERCISE RIGHTS AS DIRECTED BY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