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8-1508</w:t>
        <w:t xml:space="preserve">.  </w:t>
      </w:r>
      <w:r>
        <w:rPr>
          <w:b/>
        </w:rPr>
        <w:t xml:space="preserve">Duty of securities intermediary to change entitlement holder's position to other form of security holding</w:t>
      </w:r>
    </w:p>
    <w:p>
      <w:pPr>
        <w:jc w:val="both"/>
        <w:spacing w:before="100" w:after="100"/>
        <w:ind w:start="360"/>
        <w:ind w:firstLine="360"/>
      </w:pPr>
      <w:r>
        <w:rPr/>
      </w:r>
      <w:r>
        <w:rPr/>
      </w:r>
      <w:r>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§8-1508. Duty of securities intermediary to change entitlement holder's position to other form of security 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§8-1508. Duty of securities intermediary to change entitlement holder's position to other form of security 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§8-1508. DUTY OF SECURITIES INTERMEDIARY TO CHANGE ENTITLEMENT HOLDER'S POSITION TO OTHER FORM OF SECURITY 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