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8-1511</w:t>
        <w:t xml:space="preserve">.  </w:t>
      </w:r>
      <w:r>
        <w:rPr>
          <w:b/>
        </w:rPr>
        <w:t xml:space="preserve">Priority among security interests and entitlement holders</w:t>
      </w:r>
    </w:p>
    <w:p>
      <w:pPr>
        <w:jc w:val="both"/>
        <w:spacing w:before="100" w:after="0"/>
        <w:ind w:start="360"/>
        <w:ind w:firstLine="360"/>
      </w:pPr>
      <w:r>
        <w:rPr>
          <w:b/>
        </w:rPr>
        <w:t>(1)</w:t>
        <w:t xml:space="preserve">.  </w:t>
      </w:r>
      <w:r>
        <w:rPr>
          <w:b/>
        </w:rPr>
      </w:r>
      <w:r>
        <w:t xml:space="preserve"> </w:t>
      </w:r>
      <w:r>
        <w:t xml:space="preserve">Except as otherwise provided in </w:t>
      </w:r>
      <w:r>
        <w:t>subsections (2)</w:t>
      </w:r>
      <w:r>
        <w:t xml:space="preserve"> and </w:t>
      </w:r>
      <w:r>
        <w:t>(3)</w:t>
      </w:r>
      <w:r>
        <w:t xml:space="preserve">, if a securities intermediary does not have sufficient interests in a particular financial asset to satisfy both its obligations to entitlement holders who have security entitlements to that financial asset and its obligation to a creditor of the securities intermediary who has a security interest in that financial asset, the claims of entitlement holders, other than the creditor, have priority over the claim of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 claim of a creditor of a securities intermediary who has a security interest in a financial asset held by a securities intermediary has priority over claims of the securities intermediary's entitlement holders who have security entitlements with respect to that financial asset if the creditor has control over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If a clearing corporation does not have sufficient financial assets to satisfy both its obligations to entitlement holders who have security entitlements with respect to a financial asset and its obligation to a creditor of the clearing corporation who has a security interest in that financial asset, the claim of the creditor has priority over the claims of entitlement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§8-1511. Priority among security interests and entitlement 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§8-1511. Priority among security interests and entitlement 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§8-1511. PRIORITY AMONG SECURITY INTERESTS AND ENTITLEMENT 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