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9-1306-A</w:t>
        <w:t xml:space="preserve">.  </w:t>
      </w:r>
      <w:r>
        <w:rPr>
          <w:b/>
        </w:rPr>
        <w:t xml:space="preserve">Law governing perfection and priority of security interests in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(2)</w:t>
        <w:t xml:space="preserve">.  </w:t>
      </w:r>
      <w:r>
        <w:rPr>
          <w:b/>
        </w:rPr>
      </w:r>
      <w:r>
        <w:t xml:space="preserve"> </w:t>
      </w:r>
      <w:r>
        <w:t xml:space="preserve">The following rules determine the chattel paper's jurisdiction under this section.</w:t>
      </w:r>
    </w:p>
    <w:p>
      <w:pPr>
        <w:jc w:val="both"/>
        <w:spacing w:before="100" w:after="0"/>
        <w:ind w:start="720"/>
      </w:pPr>
      <w:r>
        <w:rPr/>
        <w:t>(a)</w:t>
        <w:t xml:space="preserve">.  </w:t>
      </w:r>
      <w:r>
        <w:rPr/>
      </w:r>
      <w: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chattel paper's jurisdiction is the jurisdiction in which the debtor is located.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(3)</w:t>
        <w:t xml:space="preserve">.  </w:t>
      </w:r>
      <w:r>
        <w:rPr>
          <w:b/>
        </w:rPr>
      </w:r>
      <w:r>
        <w:t xml:space="preserve"> </w:t>
      </w:r>
      <w: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jc w:val="both"/>
        <w:spacing w:before="100" w:after="0"/>
        <w:ind w:start="720"/>
      </w:pPr>
      <w:r>
        <w:rPr/>
        <w:t>(a)</w:t>
        <w:t xml:space="preserve">.  </w:t>
      </w:r>
      <w:r>
        <w:rPr/>
      </w:r>
      <w:r>
        <w:t xml:space="preserve">Perfection of a security interest in the chattel paper by possession under </w:t>
      </w:r>
      <w:r>
        <w:t>section 9‑1314‑A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The effect of perfection or nonperfection and the priority of a security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debtor is located governs perfection of a security interest in chattel paper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§9-1306-A. Law governing perfection and priority of security interests in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§9-1306-A. Law governing perfection and priority of security interests in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§9-1306-A. LAW GOVERNING PERFECTION AND PRIORITY OF SECURITY INTERESTS IN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