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 PERFECTION BY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