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controllable accounts, controllable electronic records, controllable payment intangibles, deposit accounts, electronic documents, investment property or letter‑of‑credit rights may be perfected by control of the collateral under </w:t>
      </w:r>
      <w:r>
        <w:t>section 7‑1106</w:t>
      </w:r>
      <w:r>
        <w:t xml:space="preserve">, </w:t>
      </w:r>
      <w:r>
        <w:t>9‑1104</w:t>
      </w:r>
      <w:r>
        <w:t xml:space="preserve">, </w:t>
      </w:r>
      <w:r>
        <w:t>9‑1106</w:t>
      </w:r>
      <w:r>
        <w:t xml:space="preserve">, </w:t>
      </w:r>
      <w:r>
        <w:t>9‑1107</w:t>
      </w:r>
      <w:r>
        <w:t xml:space="preserve"> or </w:t>
      </w:r>
      <w:r>
        <w:t>9‑1107‑A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0"/>
        <w:ind w:start="360"/>
        <w:ind w:firstLine="360"/>
      </w:pPr>
      <w:r>
        <w:rPr>
          <w:b/>
        </w:rPr>
        <w:t>(2)</w:t>
        <w:t xml:space="preserve">.  </w:t>
      </w:r>
      <w:r>
        <w:rPr>
          <w:b/>
        </w:rPr>
      </w:r>
      <w:r>
        <w:t xml:space="preserve"> </w:t>
      </w:r>
      <w:r>
        <w:t xml:space="preserve">A security interest in controllable accounts, controllable electronic records, controllable payment intangibles, deposit accounts, electronic documents or letter‑of‑credit rights is perfected by control under </w:t>
      </w:r>
      <w:r>
        <w:t>section 7‑1106</w:t>
      </w:r>
      <w:r>
        <w:t xml:space="preserve">, </w:t>
      </w:r>
      <w:r>
        <w:t>9‑1104</w:t>
      </w:r>
      <w:r>
        <w:t xml:space="preserve">, </w:t>
      </w:r>
      <w:r>
        <w:t>9‑1107</w:t>
      </w:r>
      <w:r>
        <w:t xml:space="preserve"> or </w:t>
      </w:r>
      <w:r>
        <w:t>9‑1107‑A</w:t>
      </w:r>
      <w:r>
        <w:t xml:space="preserve"> not earlier than the time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not earlier than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PL 2023, c. 669, Pt. A, §110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§9-1314. PERFECTION BY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