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security interest perfected pursuant to the law of the jurisdiction designated in </w:t>
      </w:r>
      <w:r>
        <w:t>section 9‑1301, subsection (1)</w:t>
      </w:r>
      <w:r>
        <w:t xml:space="preserve">, </w:t>
      </w:r>
      <w:r>
        <w:t>section 9‑1305, subsection (3)</w:t>
      </w:r>
      <w:r>
        <w:t xml:space="preserve">, </w:t>
      </w:r>
      <w:r>
        <w:t>section 9‑1306‑A, subsection (4)</w:t>
      </w:r>
      <w:r>
        <w:t xml:space="preserve"> or </w:t>
      </w:r>
      <w:r>
        <w:t>section 9‑1306‑B, subsection (2)</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§112 (AMD); PL 2023, c. 669, Pt. E, §1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security interest in chattel paper, controllable accounts, controllable electronic records, controllable payment intangibles, deposit accounts, letter-of-credit rights or investment property that is perfected under the law of the chattel paper's jurisdiction, the controllable electronic record's jurisdiction,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§113 (AMD); PL 2023, c. 669, Pt. E, §1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PL 2023, c. 669, Pt. A, §§112, 113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§9-1316. Effect of change in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§9-1316. Effect of change in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§9-1316. EFFECT OF CHANGE IN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