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(5)</w:t>
      </w:r>
      <w:r>
        <w:t xml:space="preserve">, a buyer, other than a secured party, of goods, instruments, tangible documents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§114 (AMD); PL 2023, c. 669, Pt. E, §1 (AFF).]</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Subject to </w:t>
      </w:r>
      <w:r>
        <w:t>subsections (6)</w:t>
      </w:r>
      <w:r>
        <w:t xml:space="preserve"> to </w:t>
      </w:r>
      <w:r>
        <w:t>(9)</w:t>
      </w:r>
      <w:r>
        <w:t xml:space="preserve">, a licensee of a general intangible or a buyer, other than a secured party, of collateral other than goods, instruments, tangible documents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§115 (AMD); PL 2023, c. 669, Pt. E, §1 (AFF).]</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buyer, other than a secured party, of chattel paper takes free of a security interest if, without knowledge of the security interest and before it is perfected, the buyer gives value and:</w:t>
      </w:r>
    </w:p>
    <w:p>
      <w:pPr>
        <w:jc w:val="both"/>
        <w:spacing w:before="100" w:after="0"/>
        <w:ind w:start="720"/>
      </w:pPr>
      <w:r>
        <w:rPr/>
        <w:t>(a)</w:t>
        <w:t xml:space="preserve">.  </w:t>
      </w:r>
      <w:r>
        <w:rPr/>
      </w:r>
      <w:r>
        <w:t xml:space="preserve">Receives delivery of each authoritative tangible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w:pPr>
        <w:jc w:val="both"/>
        <w:spacing w:before="100" w:after="0"/>
        <w:ind w:start="720"/>
      </w:pPr>
      <w:r>
        <w:rPr/>
        <w:t>(b)</w:t>
        <w:t xml:space="preserve">.  </w:t>
      </w:r>
      <w:r>
        <w:rPr/>
      </w:r>
      <w:r>
        <w:t xml:space="preserve">If each authoritative electronic copy of the record evidencing the chattel paper can be subjected to control under </w:t>
      </w:r>
      <w:r>
        <w:t>section 9‑1105‑A</w:t>
      </w:r>
      <w:r>
        <w:t xml:space="preserve">, obtains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§116 (NEW); PL 2023, c. 669, Pt. E, §1 (AFF).]</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7-1106, obtains control of each authoritative electronic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§117 (NEW); PL 2023, c. 669, Pt. E, §1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buyer of a controllable electronic record takes free of a security interest if, without knowledge of the security interest and before it is perfected, the buyer gives value and obtains control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§118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PL 2023, c. 669, Pt. A, §§114-119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§9-1317. Interests that take priority over or take free of security interest or agricultural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§9-1317. Interests that take priority over or take free of security interest or agricultural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§9-1317. INTERESTS THAT TAKE PRIORITY OVER OR TAKE FREE OF SECURITY INTEREST OR AGRICULTURAL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