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9-1324</w:t>
        <w:t xml:space="preserve">.  </w:t>
      </w:r>
      <w:r>
        <w:rPr>
          <w:b/>
        </w:rPr>
        <w:t xml:space="preserve">Priority of purchase-money security interests</w:t>
      </w:r>
    </w:p>
    <w:p>
      <w:pPr>
        <w:jc w:val="both"/>
        <w:spacing w:before="100" w:after="100"/>
        <w:ind w:start="1080" w:hanging="720"/>
      </w:pPr>
      <w:r>
        <w:rPr>
          <w:b/>
        </w:rPr>
        <w:t>(CONTAINS TEXT WITH VARYING EFFECTIVE DATES)</w:t>
      </w:r>
    </w:p>
    <w:p>
      <w:pPr>
        <w:jc w:val="both"/>
        <w:spacing w:before="100" w:after="100"/>
        <w:ind w:start="360"/>
        <w:ind w:firstLine="360"/>
      </w:pPr>
      <w:r>
        <w:rPr>
          <w:b/>
        </w:rPr>
        <w:t>(1)</w:t>
        <w:t xml:space="preserve">.  </w:t>
      </w:r>
      <w:r>
        <w:rPr>
          <w:b/>
        </w:rPr>
      </w:r>
      <w:r>
        <w:t xml:space="preserve"> </w:t>
      </w:r>
      <w:r>
        <w:t xml:space="preserve">Except as otherwise provided in </w:t>
      </w:r>
      <w:r>
        <w:t>subsection (7)</w:t>
      </w:r>
      <w:r>
        <w:t xml:space="preserve">, a perfected purchase-money security interest in goods other than inventory or livestock has priority over a conflicting security interest in the same goods, and, except as otherwise provided in </w:t>
      </w:r>
      <w:r>
        <w:t>section 9‑1327</w:t>
      </w:r>
      <w:r>
        <w:t xml:space="preserve">, a perfected security interest in its identifiable proceeds also has priority, if the purchase-money security interest is perfected when the debtor receives possession of the collateral or:</w:t>
      </w:r>
    </w:p>
    <w:p>
      <w:pPr>
        <w:jc w:val="both"/>
        <w:spacing w:before="100" w:after="0"/>
        <w:ind w:start="720"/>
      </w:pPr>
      <w:r>
        <w:rPr/>
        <w:t>(a)</w:t>
        <w:t xml:space="preserve">.  </w:t>
      </w:r>
      <w:r>
        <w:rPr/>
      </w:r>
      <w:r>
        <w:t xml:space="preserve">In the case of goods covered by </w:t>
      </w:r>
      <w:r>
        <w:t>Title 29‑A, chapter 7</w:t>
      </w:r>
      <w:r>
        <w:t xml:space="preserve">, within 30 days thereafter; or</w:t>
      </w:r>
      <w:r>
        <w:t xml:space="preserve">  </w:t>
      </w:r>
      <w:r xmlns:wp="http://schemas.openxmlformats.org/drawingml/2010/wordprocessingDrawing" xmlns:w15="http://schemas.microsoft.com/office/word/2012/wordml">
        <w:rPr>
          <w:rFonts w:ascii="Arial" w:hAnsi="Arial" w:cs="Arial"/>
          <w:sz w:val="22"/>
          <w:szCs w:val="22"/>
        </w:rPr>
        <w:t xml:space="preserve">[PL 2003, c. 652, Pt. A, §2 (NEW); PL 2003, c. 652, Pt. A, §7 (AFF).]</w:t>
      </w:r>
    </w:p>
    <w:p>
      <w:pPr>
        <w:jc w:val="both"/>
        <w:spacing w:before="100" w:after="0"/>
        <w:ind w:start="720"/>
      </w:pPr>
      <w:r>
        <w:rPr/>
        <w:t>(b)</w:t>
        <w:t xml:space="preserve">.  </w:t>
      </w:r>
      <w:r>
        <w:rPr/>
      </w:r>
      <w:r>
        <w:t xml:space="preserve">In all other cases, within 20 days thereafter.</w:t>
      </w:r>
      <w:r>
        <w:t xml:space="preserve">  </w:t>
      </w:r>
      <w:r xmlns:wp="http://schemas.openxmlformats.org/drawingml/2010/wordprocessingDrawing" xmlns:w15="http://schemas.microsoft.com/office/word/2012/wordml">
        <w:rPr>
          <w:rFonts w:ascii="Arial" w:hAnsi="Arial" w:cs="Arial"/>
          <w:sz w:val="22"/>
          <w:szCs w:val="22"/>
        </w:rPr>
        <w:t xml:space="preserve">[PL 2003, c. 652, Pt. A, §2 (NEW); PL 2003, c. 652, Pt. A,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652, Pt. A, §2 (AMD); PL 2003, c. 652, Pt. A, §7 (AFF).]</w:t>
      </w:r>
    </w:p>
    <w:p>
      <w:pPr>
        <w:jc w:val="both"/>
        <w:spacing w:before="100" w:after="100"/>
        <w:ind w:start="360"/>
        <w:ind w:firstLine="360"/>
      </w:pPr>
      <w:r>
        <w:rPr>
          <w:b/>
        </w:rPr>
        <w:t>(2)</w:t>
        <w:t xml:space="preserve">.  </w:t>
      </w:r>
      <w:r>
        <w:rPr>
          <w:b/>
        </w:rPr>
      </w:r>
      <w:r>
        <w:t xml:space="preserve"> </w:t>
      </w:r>
      <w:r>
        <w:t xml:space="preserve">Subject to </w:t>
      </w:r>
      <w:r>
        <w:t>subsection (3)</w:t>
      </w:r>
      <w:r>
        <w:t xml:space="preserve"> and except as otherwise provided in </w:t>
      </w:r>
      <w:r>
        <w:t>subsection (7)</w:t>
      </w:r>
      <w:r>
        <w:t xml:space="preserve">, a perfected purchase-money security interest in inventory has priority over a conflicting security interest in the same inventory, has priority over a conflicting security interest in chattel paper or an instrument constituting proceeds of the inventory and in proceeds of the chattel paper, if so provided in </w:t>
      </w:r>
      <w:r>
        <w:t>section 9‑1330</w:t>
      </w:r>
      <w:r>
        <w:t xml:space="preserve">, and, except as otherwise provided in </w:t>
      </w:r>
      <w:r>
        <w:t>section 9‑1327</w:t>
      </w:r>
      <w:r>
        <w:t xml:space="preserve">, also has priority in identifiable cash proceeds of the inventory to the extent the identifiable cash proceeds are received on or before the delivery of the inventory to a buyer, if:</w:t>
      </w:r>
    </w:p>
    <w:p>
      <w:pPr>
        <w:jc w:val="both"/>
        <w:spacing w:before="100" w:after="0"/>
        <w:ind w:start="720"/>
      </w:pPr>
      <w:r>
        <w:rPr/>
        <w:t>(a)</w:t>
        <w:t xml:space="preserve">.  </w:t>
      </w:r>
      <w:r>
        <w:rPr/>
      </w:r>
      <w:r>
        <w:t xml:space="preserve">The purchase-money security interest is perfected when the debtor receives possession of the inventory;</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b/>
        </w:rPr>
        <w:t>(TEXT EFFECTIVE UNTIL 7/01/25)</w:t>
        <w:t xml:space="preserve"> </w:t>
      </w:r>
      <w:r>
        <w:rPr/>
      </w:r>
      <w:r>
        <w:t xml:space="preserve">The purchase-money secured party sends an authenticated notification to the holder of the conflicting security interest;</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b/>
        </w:rPr>
        <w:t>(TEXT EFFECTIVE 7/01/25)</w:t>
        <w:t xml:space="preserve"> </w:t>
      </w:r>
      <w:r>
        <w:rPr/>
      </w:r>
      <w:r>
        <w:t xml:space="preserve">The purchase-money secured party sends a signed notification to the holder of the conflicting security interest;</w:t>
      </w:r>
      <w:r>
        <w:t xml:space="preserve">  </w:t>
      </w:r>
      <w:r xmlns:wp="http://schemas.openxmlformats.org/drawingml/2010/wordprocessingDrawing" xmlns:w15="http://schemas.microsoft.com/office/word/2012/wordml">
        <w:rPr>
          <w:rFonts w:ascii="Arial" w:hAnsi="Arial" w:cs="Arial"/>
          <w:sz w:val="22"/>
          <w:szCs w:val="22"/>
        </w:rPr>
        <w:t xml:space="preserve">[PL 2023, c. 669, Pt. A, §122 (AMD); PL 2023, c. 669, Pt. E, §1 (AFF).]</w:t>
      </w:r>
    </w:p>
    <w:p>
      <w:pPr>
        <w:jc w:val="both"/>
        <w:spacing w:before="100" w:after="0"/>
        <w:ind w:start="720"/>
      </w:pPr>
      <w:r>
        <w:rPr/>
        <w:t>(c)</w:t>
        <w:t xml:space="preserve">.  </w:t>
      </w:r>
      <w:r>
        <w:rPr/>
      </w:r>
      <w:r>
        <w:t xml:space="preserve">The holder of the conflicting security interest receives the notification within 5 years before the debtor receives possession of the inventory;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(d)</w:t>
        <w:t xml:space="preserve">.  </w:t>
      </w:r>
      <w:r>
        <w:rPr/>
      </w:r>
      <w:r>
        <w:t xml:space="preserve">The notification states that the person sending the notification has or expects to acquire a purchase-money security interest in inventory of the debtor and describes the inventory.</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 PL 2023, c. 669, Pt. A, §122 (AMD); PL 2023, c. 669, Pt. E, §1 (AFF).]</w:t>
      </w:r>
    </w:p>
    <w:p>
      <w:pPr>
        <w:jc w:val="both"/>
        <w:spacing w:before="100" w:after="100"/>
        <w:ind w:start="360"/>
        <w:ind w:firstLine="360"/>
      </w:pPr>
      <w:r>
        <w:rPr>
          <w:b/>
        </w:rPr>
        <w:t>(3)</w:t>
        <w:t xml:space="preserve">.  </w:t>
      </w:r>
      <w:r>
        <w:rPr>
          <w:b/>
        </w:rPr>
      </w:r>
      <w:r>
        <w:t xml:space="preserve"> </w:t>
      </w:r>
      <w:r>
        <w:t>Subsection (2), paragraphs (b)</w:t>
      </w:r>
      <w:r>
        <w:t xml:space="preserve"> to </w:t>
      </w:r>
      <w:r>
        <w:t>(d)</w:t>
      </w:r>
      <w:r>
        <w:t xml:space="preserve"> apply only if the holder of the conflicting security interest had filed a financing statement covering the same types of inventory:</w:t>
      </w:r>
    </w:p>
    <w:p>
      <w:pPr>
        <w:jc w:val="both"/>
        <w:spacing w:before="100" w:after="0"/>
        <w:ind w:start="720"/>
      </w:pPr>
      <w:r>
        <w:rPr/>
        <w:t>(a)</w:t>
        <w:t xml:space="preserve">.  </w:t>
      </w:r>
      <w:r>
        <w:rPr/>
      </w:r>
      <w:r>
        <w:t xml:space="preserve">If the purchase-money security interest is perfected by filing, before the date of the filing;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If the purchase-money security interest is temporarily perfected without filing or possession under </w:t>
      </w:r>
      <w:r>
        <w:t>section 9‑1312, subsection (6)</w:t>
      </w:r>
      <w:r>
        <w:t xml:space="preserve"> before the beginning of the 20-day period thereunder.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(4)</w:t>
        <w:t xml:space="preserve">.  </w:t>
      </w:r>
      <w:r>
        <w:rPr>
          <w:b/>
        </w:rPr>
      </w:r>
      <w:r>
        <w:t xml:space="preserve"> </w:t>
      </w:r>
      <w:r>
        <w:t xml:space="preserve">Subject to </w:t>
      </w:r>
      <w:r>
        <w:t>subsection (5)</w:t>
      </w:r>
      <w:r>
        <w:t xml:space="preserve"> and except as otherwise provided in </w:t>
      </w:r>
      <w:r>
        <w:t>subsection (7)</w:t>
      </w:r>
      <w:r>
        <w:t xml:space="preserve">, a perfected purchase-money security interest in livestock that are farm products has priority over a conflicting security interest in the same livestock, and, except as otherwise provided in </w:t>
      </w:r>
      <w:r>
        <w:t>section 9‑1327</w:t>
      </w:r>
      <w:r>
        <w:t xml:space="preserve">, a perfected security interest in their identifiable proceeds and identifiable products in their unmanufactured states also has priority, if:</w:t>
      </w:r>
    </w:p>
    <w:p>
      <w:pPr>
        <w:jc w:val="both"/>
        <w:spacing w:before="100" w:after="0"/>
        <w:ind w:start="720"/>
      </w:pPr>
      <w:r>
        <w:rPr/>
        <w:t>(a)</w:t>
        <w:t xml:space="preserve">.  </w:t>
      </w:r>
      <w:r>
        <w:rPr/>
      </w:r>
      <w:r>
        <w:t xml:space="preserve">The purchase-money security interest is perfected when the debtor receives possession of the livestock;</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b/>
        </w:rPr>
        <w:t>(TEXT EFFECTIVE UNTIL 7/01/25)</w:t>
        <w:t xml:space="preserve"> </w:t>
      </w:r>
      <w:r>
        <w:rPr/>
      </w:r>
      <w:r>
        <w:t xml:space="preserve">The purchase-money secured party sends an authenticated notification to the holder of the conflicting security interest;</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b/>
        </w:rPr>
        <w:t>(TEXT EFFECTIVE 7/01/25)</w:t>
        <w:t xml:space="preserve"> </w:t>
      </w:r>
      <w:r>
        <w:rPr/>
      </w:r>
      <w:r>
        <w:t xml:space="preserve">The purchase-money secured party sends a signed notification to the holder of the conflicting security interest;</w:t>
      </w:r>
      <w:r>
        <w:t xml:space="preserve">  </w:t>
      </w:r>
      <w:r xmlns:wp="http://schemas.openxmlformats.org/drawingml/2010/wordprocessingDrawing" xmlns:w15="http://schemas.microsoft.com/office/word/2012/wordml">
        <w:rPr>
          <w:rFonts w:ascii="Arial" w:hAnsi="Arial" w:cs="Arial"/>
          <w:sz w:val="22"/>
          <w:szCs w:val="22"/>
        </w:rPr>
        <w:t xml:space="preserve">[PL 2023, c. 669, Pt. A, §123 (AMD); PL 2023, c. 669, Pt. E, §1 (AFF).]</w:t>
      </w:r>
    </w:p>
    <w:p>
      <w:pPr>
        <w:jc w:val="both"/>
        <w:spacing w:before="100" w:after="0"/>
        <w:ind w:start="720"/>
      </w:pPr>
      <w:r>
        <w:rPr/>
        <w:t>(c)</w:t>
        <w:t xml:space="preserve">.  </w:t>
      </w:r>
      <w:r>
        <w:rPr/>
      </w:r>
      <w:r>
        <w:t xml:space="preserve">The holder of the conflicting security interest receives the notification within 6 months before the debtor receives possession of the livestock;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(d)</w:t>
        <w:t xml:space="preserve">.  </w:t>
      </w:r>
      <w:r>
        <w:rPr/>
      </w:r>
      <w:r>
        <w:t xml:space="preserve">The notification states that the person sending the notification has or expects to acquire a purchase-money security interest in livestock of the debtor and describes the livestock.</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669, Pt. A, §2 (NEW); PL 1999, c. 699, Pt. A, §4 (AFF); PL 2023, c. 669, Pt. A, §123 (AMD); PL 2023, c. 669, Pt. E, §1 (AFF).]</w:t>
      </w:r>
    </w:p>
    <w:p>
      <w:pPr>
        <w:jc w:val="both"/>
        <w:spacing w:before="100" w:after="100"/>
        <w:ind w:start="360"/>
        <w:ind w:firstLine="360"/>
      </w:pPr>
      <w:r>
        <w:rPr>
          <w:b/>
        </w:rPr>
        <w:t>(5)</w:t>
        <w:t xml:space="preserve">.  </w:t>
      </w:r>
      <w:r>
        <w:rPr>
          <w:b/>
        </w:rPr>
      </w:r>
      <w:r>
        <w:t xml:space="preserve"> </w:t>
      </w:r>
      <w:r>
        <w:t>Subsection (4), paragraphs (b)</w:t>
      </w:r>
      <w:r>
        <w:t xml:space="preserve"> to </w:t>
      </w:r>
      <w:r>
        <w:t>(d)</w:t>
      </w:r>
      <w:r>
        <w:t xml:space="preserve"> apply only if the holder of the conflicting security interest had filed a financing statement covering the same types of livestock:</w:t>
      </w:r>
    </w:p>
    <w:p>
      <w:pPr>
        <w:jc w:val="both"/>
        <w:spacing w:before="100" w:after="0"/>
        <w:ind w:start="720"/>
      </w:pPr>
      <w:r>
        <w:rPr/>
        <w:t>(a)</w:t>
        <w:t xml:space="preserve">.  </w:t>
      </w:r>
      <w:r>
        <w:rPr/>
      </w:r>
      <w:r>
        <w:t xml:space="preserve">If the purchase-money security interest is perfected by filing, before the date of the filing;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If the purchase-money security interest is temporarily perfected without filing or possession under </w:t>
      </w:r>
      <w:r>
        <w:t>section 9‑1312, subsection (6)</w:t>
      </w:r>
      <w:r>
        <w:t xml:space="preserve">, before the beginning of the 20-day period thereunder.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(6)</w:t>
        <w:t xml:space="preserve">.  </w:t>
      </w:r>
      <w:r>
        <w:rPr>
          <w:b/>
        </w:rPr>
      </w:r>
      <w:r>
        <w:t xml:space="preserve"> </w:t>
      </w:r>
      <w:r>
        <w:t xml:space="preserve">Except as otherwise provided in </w:t>
      </w:r>
      <w:r>
        <w:t>subsection (7)</w:t>
      </w:r>
      <w:r>
        <w:t xml:space="preserve">, a perfected purchase-money security interest in software has priority over a conflicting security interest in the same collateral, and, except as otherwise provided in </w:t>
      </w:r>
      <w:r>
        <w:t>section 9‑1327</w:t>
      </w:r>
      <w:r>
        <w:t xml:space="preserve">, a perfected security interest in its identifiable proceeds also has priority, to the extent that the purchase-money security interest in the goods in which the software was acquired for use has priority in the goods and proceeds of the goods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(7)</w:t>
        <w:t xml:space="preserve">.  </w:t>
      </w:r>
      <w:r>
        <w:rPr>
          <w:b/>
        </w:rPr>
      </w:r>
      <w:r>
        <w:t xml:space="preserve"> </w:t>
      </w:r>
      <w:r>
        <w:t xml:space="preserve">If more than one security interest qualifies for priority in the same collateral under </w:t>
      </w:r>
      <w:r>
        <w:t>subsection (1)</w:t>
      </w:r>
      <w:r>
        <w:t xml:space="preserve">, </w:t>
      </w:r>
      <w:r>
        <w:t>(2)</w:t>
      </w:r>
      <w:r>
        <w:t xml:space="preserve">, </w:t>
      </w:r>
      <w:r>
        <w:t>(4)</w:t>
      </w:r>
      <w:r>
        <w:t xml:space="preserve"> or </w:t>
      </w:r>
      <w:r>
        <w:t>(6)</w:t>
      </w:r>
      <w:r>
        <w:t xml:space="preserve">:</w:t>
      </w:r>
    </w:p>
    <w:p>
      <w:pPr>
        <w:jc w:val="both"/>
        <w:spacing w:before="100" w:after="0"/>
        <w:ind w:start="720"/>
      </w:pPr>
      <w:r>
        <w:rPr/>
        <w:t>(a)</w:t>
        <w:t xml:space="preserve">.  </w:t>
      </w:r>
      <w:r>
        <w:rPr/>
      </w:r>
      <w:r>
        <w:t xml:space="preserve">A security interest securing an obligation incurred as all or part of the price of the collateral has priority over a security interest securing an obligation incurred for value given to enable the debtor to acquire rights in or the use of collateral;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In all other cases, </w:t>
      </w:r>
      <w:r>
        <w:t>section 9‑1322, subsection (1)</w:t>
      </w:r>
      <w:r>
        <w:t xml:space="preserve"> applies to the qualifying security interests.</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PL 2003, c. 652, §A2 (AMD). PL 2003, c. 652, §A7 (AFF). PL 2023, c. 669, Pt. A, §§122, 123 (AMD). PL 2023, c. 669, Pt. E, §1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§9-1324. Priority of purchase-money security interests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§9-1324. Priority of purchase-money security interests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§9-1324. PRIORITY OF PURCHASE-MONEY SECURITY INTERESTS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