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9-1329</w:t>
        <w:t xml:space="preserve">.  </w:t>
      </w:r>
      <w:r>
        <w:rPr>
          <w:b/>
        </w:rPr>
        <w:t xml:space="preserve">Priority of security interests in letter-of-credit right</w:t>
      </w:r>
    </w:p>
    <w:p>
      <w:pPr>
        <w:jc w:val="both"/>
        <w:spacing w:before="100" w:after="100"/>
        <w:ind w:start="360"/>
        <w:ind w:firstLine="360"/>
      </w:pPr>
      <w:r>
        <w:rPr/>
      </w:r>
      <w:r>
        <w:rPr/>
      </w:r>
      <w:r>
        <w:t xml:space="preserve">The following rules govern priority among conflicting security interests in the same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letter-of-credit right under </w:t>
      </w:r>
      <w:r>
        <w:t>section 9‑1107</w:t>
      </w:r>
      <w:r>
        <w:t xml:space="preserve"> has priority to the extent of its control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§9-1329. Priority of security interests in letter-of-credit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§9-1329. Priority of security interests in letter-of-credit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§9-1329. PRIORITY OF SECURITY INTERESTS IN LETTER-OF-CREDIT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