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9-1337</w:t>
        <w:t xml:space="preserve">.  </w:t>
      </w:r>
      <w:r>
        <w:rPr>
          <w:b/>
        </w:rPr>
        <w:t xml:space="preserve">Priority of security interests in goods covered by certificate of title</w:t>
      </w:r>
    </w:p>
    <w:p>
      <w:pPr>
        <w:jc w:val="both"/>
        <w:spacing w:before="100" w:after="100"/>
        <w:ind w:start="360"/>
        <w:ind w:firstLine="360"/>
      </w:pPr>
      <w:r>
        <w:rPr/>
      </w:r>
      <w:r>
        <w:rPr/>
      </w:r>
      <w: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is subordinate to a conflicting security interest in the goods that attaches, and is perfected under </w:t>
      </w:r>
      <w:r>
        <w:t>section 9‑1311, subsection (2)</w:t>
      </w:r>
      <w:r>
        <w:t xml:space="preserve">, after issuance of the certificate and without the conflicting secured party's knowledge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§9-1337. Priority of security interests in goods covered by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§9-1337. Priority of security interests in goods covered by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§9-1337. PRIORITY OF SECURITY INTERESTS IN GOODS COVERED BY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