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w:t>
      </w:r>
    </w:p>
    <w:p>
      <w:pPr>
        <w:jc w:val="both"/>
        <w:spacing w:before="100" w:after="0"/>
        <w:ind w:start="720"/>
      </w:pPr>
      <w:r>
        <w:rPr/>
        <w:t>(a)</w:t>
        <w:t xml:space="preserve">.  </w:t>
      </w:r>
      <w:r>
        <w:rPr/>
      </w:r>
      <w:r>
        <w:t xml:space="preserve">In the case of tangible documents, goods, instruments or a security certificate, receives possession or delivery of the collateral; and</w:t>
      </w:r>
      <w:r>
        <w:t xml:space="preserve">  </w:t>
      </w:r>
      <w:r xmlns:wp="http://schemas.openxmlformats.org/drawingml/2010/wordprocessingDrawing" xmlns:w15="http://schemas.microsoft.com/office/word/2012/wordml">
        <w:rPr>
          <w:rFonts w:ascii="Arial" w:hAnsi="Arial" w:cs="Arial"/>
          <w:sz w:val="22"/>
          <w:szCs w:val="22"/>
        </w:rPr>
        <w:t xml:space="preserve">[RR 2023, c. 2, Pt. A, §19 (COR).]</w:t>
      </w:r>
    </w:p>
    <w:p>
      <w:pPr>
        <w:jc w:val="both"/>
        <w:spacing w:before="100" w:after="0"/>
        <w:ind w:start="720"/>
      </w:pPr>
      <w:r>
        <w:rPr/>
        <w:t>(b)</w:t>
        <w:t xml:space="preserve">.  </w:t>
      </w:r>
      <w:r>
        <w:rPr/>
      </w:r>
      <w:r>
        <w:t xml:space="preserve">In the case of chattel paper, takes possession of each authoritative tangible copy of the record evidencing the chattel paper and obtains control of each authoritative electronic copy of the electronic record evidencing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§131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PL 2023, c. 669, Pt. A, §131 (AMD). PL 2023, c. 669, Pt. E, §1 (AFF). RR 2023,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§9-1338. Priority of security interest or agricultural lien perfected by filed financing statement providing certain incorrect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§9-1338. PRIORITY OF SECURITY INTEREST OR AGRICULTURAL LIEN PERFECTED BY FILED FINANCING STATEMENT PROVIDING CERTAIN INCORRECT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