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40. Effectiveness of right of recoupment or setoff against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40. Effectiveness of right of recoupment or setoff against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40. EFFECTIVENESS OF RIGHT OF RECOUPMENT OR SETOFF AGAINST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