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(3),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For the purposes of this 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PL 2023, c. 669, Pt. A, §138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§9-1408. Restrictions on assignment of promissory notes, health-care-insurance receivables and certain general intangibles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§9-1408. Restrictions on assignment of promissory notes, health-care-insurance receivables and certain general intangibles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§9-1408. RESTRICTIONS ON ASSIGNMENT OF PROMISSORY NOTES, HEALTH-CARE-INSURANCE RECEIVABLES AND CERTAIN GENERAL INTANGIBLES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