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9-1508</w:t>
        <w:t xml:space="preserve">.  </w:t>
      </w:r>
      <w:r>
        <w:rPr>
          <w:b/>
        </w:rPr>
        <w:t xml:space="preserve">Effectiveness of financing statement if new debtor becomes bound by security agreement</w:t>
      </w:r>
    </w:p>
    <w:p>
      <w:pPr>
        <w:jc w:val="both"/>
        <w:spacing w:before="100" w:after="0"/>
        <w:ind w:start="360"/>
        <w:ind w:firstLine="360"/>
      </w:pPr>
      <w:r>
        <w:rPr>
          <w:b/>
        </w:rPr>
        <w:t>(1)</w:t>
        <w:t xml:space="preserve">.  </w:t>
      </w:r>
      <w:r>
        <w:rPr>
          <w:b/>
        </w:rPr>
      </w:r>
      <w:r>
        <w:t xml:space="preserve"> </w:t>
      </w:r>
      <w:r>
        <w:t xml:space="preserve">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new debtor is a registered organization and becomes subject to a security interest pursuant to </w:t>
      </w:r>
      <w:r>
        <w:t>section 9‑1203, subsection (4)</w:t>
      </w:r>
      <w:r>
        <w:t xml:space="preserve"> by reason of a merger, consolidation or a change in the form of entity of the original debtor that is reflected in the public records relating to the new debtor's organization maintained by the governmental unit referenced in </w:t>
      </w:r>
      <w:r>
        <w:t>section 9‑1102, subsection (73)</w:t>
      </w:r>
      <w:r>
        <w:t xml:space="preserve">, then a financing statement filed under the original debtor's former name before the effective date of the merger, consolidation or change in the form of entity remains effective to perfect a security interest in collateral acquired by the new debtor to the same extent as if that financing statement was amended to provide the new debtor's name even if the difference between the new debtor's name and that of the original debtor causes a filed financing statement that is effective under </w:t>
      </w:r>
      <w:r>
        <w:t>subsection (1)</w:t>
      </w:r>
      <w:r>
        <w:t xml:space="preserve"> to become seriously misleading only if the place to file a financing statement against the new debtor for such collateral is, pursuant to </w:t>
      </w:r>
      <w:r>
        <w:t>Part 3</w:t>
      </w:r>
      <w:r>
        <w:t xml:space="preserve"> of this Article, the same jurisdiction in which the financing statement against the original debtor is filed.  In all other instances, if the difference between the name of the original debtor and that of the new debtor causes a filed financing statement that is effective under subsection (1) to be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is not effective to perfect a security interest in collateral acquired by the new debtor more than 4 months after the new debtor becomes bound under </w:t>
      </w:r>
      <w:r>
        <w:t>section 9‑1203, subsection (4)</w:t>
      </w:r>
      <w:r>
        <w:t xml:space="preserve"> unless an initial financing statement providing the name of the new debtor is filed before the expiration of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§4 (AMD).]</w:t>
      </w:r>
    </w:p>
    <w:p>
      <w:pPr>
        <w:jc w:val="both"/>
        <w:spacing w:before="100" w:after="0"/>
        <w:ind w:start="360"/>
        <w:ind w:firstLine="360"/>
      </w:pPr>
      <w:r>
        <w:rPr>
          <w:b/>
        </w:rPr>
        <w:t>(3)</w:t>
        <w:t xml:space="preserve">.  </w:t>
      </w:r>
      <w:r>
        <w:rPr>
          <w:b/>
        </w:rPr>
      </w:r>
      <w:r>
        <w:t xml:space="preserve"> </w:t>
      </w:r>
      <w:r>
        <w:t xml:space="preserve">This section does not apply to collateral as to which a filed financing statement remains effective against the new debtor under </w:t>
      </w:r>
      <w:r>
        <w:t>section 9‑1507,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§9-1508. Effectiveness of financing statement if new debtor becomes bound by security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§9-1508. Effectiveness of financing statement if new debtor becomes bound by security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§9-1508. EFFECTIVENESS OF FINANCING STATEMENT IF NEW DEBTOR BECOMES BOUND BY SECURITY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