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9-1513</w:t>
        <w:t xml:space="preserve">.  </w:t>
      </w:r>
      <w:r>
        <w:rPr>
          <w:b/>
        </w:rPr>
        <w:t xml:space="preserve">Termination statement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If earlier, within 20 days after the secured party receives a signed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§141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In cases not governed by </w:t>
      </w:r>
      <w:r>
        <w:t>subsection (1)</w:t>
      </w:r>
      <w:r>
        <w:t xml:space="preserve">, within 20 days after a secured party receives a signed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§142 (AMD); PL 2023, c. 669, Pt. E, §1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§§141, 142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§9-1513. Termination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§9-1513. Termination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§9-1513. TERMINATION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