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§9-1518. CLAIM CONCERNING INACCURATE OR WRONGFULLY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