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9-1520</w:t>
        <w:t xml:space="preserve">.  </w:t>
      </w:r>
      <w:r>
        <w:rPr>
          <w:b/>
        </w:rPr>
        <w:t xml:space="preserve">Acceptance and refusal to accept record</w:t>
      </w:r>
    </w:p>
    <w:p>
      <w:pPr>
        <w:jc w:val="both"/>
        <w:spacing w:before="100" w:after="0"/>
        <w:ind w:start="360"/>
        <w:ind w:firstLine="360"/>
      </w:pPr>
      <w:r>
        <w:rPr>
          <w:b/>
        </w:rPr>
        <w:t>(1)</w:t>
        <w:t xml:space="preserve">.  </w:t>
      </w:r>
      <w:r>
        <w:rPr>
          <w:b/>
        </w:rPr>
      </w:r>
      <w:r>
        <w:t xml:space="preserve"> </w:t>
      </w:r>
      <w:r>
        <w:t xml:space="preserve">A filing office shall refuse to accept a record for filing for a reason set forth in </w:t>
      </w:r>
      <w:r>
        <w:t>section 9‑1516, subsection (2)</w:t>
      </w:r>
      <w:r>
        <w:t xml:space="preserve"> and may refuse to accept a record for filing only for a reason set forth in </w:t>
      </w:r>
      <w:r>
        <w:t>section 9‑1516,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filing-office rule but, in the case of the office of the Secretary of State, in no event more than 2 business days after the filing office receives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filed financing statement satisfying </w:t>
      </w:r>
      <w:r>
        <w:t>section 9‑1502, subsection (1)</w:t>
      </w:r>
      <w:r>
        <w:t xml:space="preserve"> and </w:t>
      </w:r>
      <w:r>
        <w:t>(2)</w:t>
      </w:r>
      <w:r>
        <w:t xml:space="preserve"> is effective even if the filing office is required to refuse to accept it for filing under </w:t>
      </w:r>
      <w:r>
        <w:t>subsection (1)</w:t>
      </w:r>
      <w:r>
        <w:t xml:space="preserve">.  However, </w:t>
      </w:r>
      <w:r>
        <w:t>section 9‑1338</w:t>
      </w:r>
      <w:r>
        <w:t xml:space="preserve"> applies to a filed financing statement providing information described in </w:t>
      </w:r>
      <w:r>
        <w:t>section 9‑1516, subsection (2), paragraph (e)</w:t>
      </w:r>
      <w:r>
        <w:t xml:space="preserve"> that is incorrect at the time the financing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a record communicated to a filing office provides information that relates to more than one debtor, this part applies to each debtor separately.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§9-1520. Acceptance and refusal to accept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§9-1520. Acceptance and refusal to accept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§9-1520. ACCEPTANCE AND REFUSAL TO ACCEPT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