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§9-1605. UNKNOWN DEBTOR OR SECONDARY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