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9-1704</w:t>
        <w:t xml:space="preserve">.  </w:t>
      </w:r>
      <w:r>
        <w:rPr>
          <w:b/>
        </w:rPr>
        <w:t xml:space="preserve">Security interest unperfected before effective date</w:t>
      </w:r>
    </w:p>
    <w:p>
      <w:pPr>
        <w:jc w:val="both"/>
        <w:spacing w:before="100" w:after="100"/>
        <w:ind w:start="360"/>
        <w:ind w:firstLine="360"/>
      </w:pPr>
      <w:r>
        <w:rPr/>
      </w:r>
      <w:r>
        <w:rPr/>
      </w:r>
      <w:r>
        <w:t xml:space="preserve">A security interest that is enforceable immediately before this Article takes effect but which would be subordinate to the rights of a person that becomes a lien creditor at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Remains an enforceable security interest for one year after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Remains enforceable thereafter if the security interest becomes enforceable under </w:t>
      </w:r>
      <w:r>
        <w:t>section 9‑1203</w:t>
      </w:r>
      <w:r>
        <w:t xml:space="preserve"> when this Article takes effect or within one year thereafter;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Becomes perfected:</w:t>
      </w:r>
    </w:p>
    <w:p>
      <w:pPr>
        <w:jc w:val="both"/>
        <w:spacing w:before="100" w:after="0"/>
        <w:ind w:start="720"/>
      </w:pPr>
      <w:r>
        <w:rPr/>
        <w:t>(a)</w:t>
        <w:t xml:space="preserve">.  </w:t>
      </w:r>
      <w:r>
        <w:rPr/>
      </w:r>
      <w:r>
        <w:t xml:space="preserve">Without further action, when this Article takes effect if the applicable requirements for perfection under this Article are satisfied before or at that time;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When the applicable requirements for perfection are satisfied if the requirements are satisfied after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§9-1704. Security interest unperfected before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§9-1704. Security interest unperfected before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§9-1704. SECURITY INTEREST UNPERFECTED BEFORE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