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202-D</w:t>
      </w:r>
    </w:p>
    <w:p>
      <w:pPr>
        <w:jc w:val="center"/>
        <w:ind w:start="360"/>
        <w:spacing w:before="300" w:after="300"/>
      </w:pPr>
      <w:r>
        <w:rPr>
          <w:b/>
        </w:rPr>
        <w:t xml:space="preserve">DESIGNATED LANDS</w:t>
      </w:r>
    </w:p>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the case of a high‑impact electric transmission line crossing or utilizing such land or a portion of such land that is a rail trail or recreational corridor or land of similar configuration, as determined by the bureau, the rules must include criteria for determining that the high‑impact electric transmission line would not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PL 2023,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202-D. DESIGNATED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202-D. DESIGNATED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202-D. DESIGNATED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