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Advisory Board for the Licensing of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§10153. ADVISORY BOARD FOR THE LICENSING OF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