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Beginning January 1, 2025, the fees outlined in </w:t>
      </w:r>
      <w:r>
        <w:t>section 13056, subsection 8, paragraphs A</w:t>
      </w:r>
      <w:r>
        <w:t xml:space="preserve"> and </w:t>
      </w:r>
      <w:r>
        <w:t>B</w:t>
      </w:r>
      <w:r>
        <w:t xml:space="preserve"> for watercraft operating on inland waters of the State each include a $25 fee for invasive species prevention and control. Beginning January 1, 2028, the fees outlined in </w:t>
      </w:r>
      <w:r>
        <w:t>section 13056, subsection 8, paragraphs A</w:t>
      </w:r>
      <w:r>
        <w:t xml:space="preserve"> and </w:t>
      </w:r>
      <w:r>
        <w:t>B</w:t>
      </w:r>
      <w:r>
        <w:t xml:space="preserve"> for watercraft operating on inland waters of the State each include a $35 fee for invasive species prevention and control.  This fee is disposed of as follows:</w:t>
      </w:r>
    </w:p>
    <w:p>
      <w:pPr>
        <w:jc w:val="both"/>
        <w:spacing w:before="100" w:after="0"/>
        <w:ind w:start="1080"/>
      </w:pPr>
      <w:r>
        <w:rPr/>
        <w:t>(</w:t>
        <w:t>1</w:t>
        <w:t xml:space="preserve">)  </w:t>
      </w:r>
      <w:r>
        <w:rPr/>
      </w:r>
      <w:r>
        <w:t xml:space="preserve">Prior to January 1, 2025, 80% must be credited to the Invasive Aquatic Plant and Nuisance Species Fund. Beginning January 1, 2025, 70% must be credited to the Invasive Aquatic Plant and Nuisance Species Fund; and</w:t>
      </w:r>
    </w:p>
    <w:p>
      <w:pPr>
        <w:jc w:val="both"/>
        <w:spacing w:before="100" w:after="0"/>
        <w:ind w:start="1080"/>
      </w:pPr>
      <w:r>
        <w:rPr/>
        <w:t>(</w:t>
        <w:t>2</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PL 2023, c. 612,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§10206. Disposition of specific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Disposition of specific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§10206. DISPOSITION OF SPECIFIC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