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10302</w:t>
        <w:t xml:space="preserve">.  </w:t>
      </w:r>
      <w:r>
        <w:rPr>
          <w:b/>
        </w:rPr>
        <w:t xml:space="preserve">Fund established</w:t>
      </w:r>
    </w:p>
    <w:p>
      <w:pPr>
        <w:jc w:val="both"/>
        <w:spacing w:before="100" w:after="100"/>
        <w:ind w:start="360"/>
        <w:ind w:firstLine="360"/>
      </w:pPr>
      <w:r>
        <w:rPr/>
      </w:r>
      <w:r>
        <w:rPr/>
      </w:r>
      <w:r>
        <w:t xml:space="preserve">There is established the Maine Outdoor Heritage Fund.  The fund consists of revenues received pursuant to </w:t>
      </w:r>
      <w:r>
        <w:t>Title 8, section 387</w:t>
      </w:r>
      <w:r>
        <w:t xml:space="preserve"> and any funds received as contributions from private and public sources.  The fund, to be accounted within the department, must be held separate and apart from all other money, funds and accounts.  Eligible investment earnings credited to the assets of the fund become part of the assets of the fund.  Any balance remaining in the fund at the end of any fiscal year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§10302.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§10302.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§10302.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