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10326</w:t>
        <w:t xml:space="preserve">.  </w:t>
      </w:r>
      <w:r>
        <w:rPr>
          <w:b/>
        </w:rPr>
        <w:t xml:space="preserve">Rules</w:t>
      </w:r>
    </w:p>
    <w:p>
      <w:pPr>
        <w:jc w:val="both"/>
        <w:spacing w:before="100" w:after="100"/>
        <w:ind w:start="360"/>
        <w:ind w:firstLine="360"/>
      </w:pPr>
      <w:r>
        <w:rPr/>
      </w:r>
      <w:r>
        <w:rPr/>
      </w:r>
      <w:r>
        <w:t xml:space="preserve">The grant committee may adopt rules necessary for the conduct of its business under this subchapter.  The grant committee shall adopt by rule a schedule for submission of and action on grant proposals.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