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§10501. Admissibility of department records and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Admissibility of department records and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§10501. ADMISSIBILITY OF DEPARTMENT RECORDS AND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