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§10656. Defacement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§10656. Defacement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§10656. DEFACEMENT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