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11203</w:t>
        <w:t xml:space="preserve">.  </w:t>
      </w:r>
      <w:r>
        <w:rPr>
          <w:b/>
        </w:rPr>
        <w:t xml:space="preserve">Hunter orange clothing</w:t>
      </w:r>
    </w:p>
    <w:p>
      <w:pPr>
        <w:jc w:val="both"/>
        <w:spacing w:before="100" w:after="0"/>
        <w:ind w:start="360"/>
        <w:ind w:firstLine="360"/>
      </w:pPr>
      <w:r>
        <w:rPr>
          <w:b/>
        </w:rPr>
        <w:t>1</w:t>
        <w:t xml:space="preserve">.  </w:t>
      </w:r>
      <w:r>
        <w:rPr>
          <w:b/>
        </w:rPr>
        <w:t xml:space="preserve">Hunter orange required.</w:t>
        <w:t xml:space="preserve"> </w:t>
      </w:r>
      <w:r>
        <w:t xml:space="preserve"> </w:t>
      </w:r>
      <w:r>
        <w:t xml:space="preserve">A person may not hunt with firearms or crossbows during the open firearm season on deer unless that person is wearing 2 articles of hunter orange clothing that are in good, serviceable condition and visible from all sides, except that a person hunting waterfowl from a boat or blind or in conjunction with waterfowl decoys is not required to wear hunter orange clothing.  One article of clothing must be a solid-colored hunter orange hat.  The other article of clothing must cover a major portion of the torso, such as a jacket, vest, coat or poncho, and must be a minimum of 50% hunter orange in color.  The presence of a decal on an article of clothing that is otherwise solid-colored hunter orange does not disqualify that article of clothing from satisfying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§6 (AMD).]</w:t>
      </w:r>
    </w:p>
    <w:p>
      <w:pPr>
        <w:jc w:val="both"/>
        <w:spacing w:before="100" w:after="0"/>
        <w:ind w:start="360"/>
        <w:ind w:firstLine="360"/>
      </w:pPr>
      <w:r>
        <w:rPr>
          <w:b/>
        </w:rPr>
        <w:t>1-A</w:t>
        <w:t xml:space="preserve">.  </w:t>
      </w:r>
      <w:r>
        <w:rPr>
          <w:b/>
        </w:rPr>
        <w:t xml:space="preserve">Religious opposition exemption.</w:t>
        <w:t xml:space="preserve"> </w:t>
      </w:r>
      <w:r>
        <w:t xml:space="preserve"> </w:t>
      </w:r>
      <w:r>
        <w:t xml:space="preserve">A person may substitute articles of bright red clothing for the articles of hunter orange clothing required under subsection 1 if the person has a religious opposition to the wearing of hunter orange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82, §1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§136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§B136 (AMD). PL 2003, c. 655, §B422 (AFF). PL 2005, c. 477, §6 (AMD). PL 2017, c. 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§11203. Hunter orange clothing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§11203. Hunter orange clothing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§11203. HUNTER ORANGE CLOTHING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