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Unlawful shooting or discharge of firearm or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§11208. UNLAWFUL SHOOTING OR DISCHARGE OF FIREARM OR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