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11305</w:t>
        <w:t xml:space="preserve">.  </w:t>
      </w:r>
      <w:r>
        <w:rPr>
          <w:b/>
        </w:rPr>
        <w:t xml:space="preserve">Unlawful firearms for hunting bear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§11305. Unlawful firearms for hunting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§11305. Unlawful firearms for hunting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§11305. UNLAWFUL FIREARMS FOR HUNTING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