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§11401. Open and closed seasons for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Open and closed seasons for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§11401. OPEN AND CLOSED SEASONS FOR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