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§11952. Unlawful harvest of wild rabbits or 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§11952. Unlawful harvest of wild rabbits or 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§11952. UNLAWFUL HARVEST OF WILD RABBITS OR 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