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12161</w:t>
        <w:t xml:space="preserve">.  </w:t>
      </w:r>
      <w:r>
        <w:rPr>
          <w:b/>
        </w:rPr>
        <w:t xml:space="preserve">Taking of certain nonmarine invertebrates from the wild for commercial purposes</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and possess certain nonmarine invertebrates, specifically freshwater mussels, butterflies, moths, dragonflies or beetles,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w:t>
      </w:r>
    </w:p>
    <w:p>
      <w:pPr>
        <w:jc w:val="both"/>
        <w:spacing w:before="100" w:after="0"/>
        <w:ind w:start="360"/>
        <w:ind w:firstLine="360"/>
      </w:pPr>
      <w:r>
        <w:rPr>
          <w:b/>
        </w:rPr>
        <w:t>2</w:t>
        <w:t xml:space="preserve">.  </w:t>
      </w:r>
      <w:r>
        <w:rPr>
          <w:b/>
        </w:rPr>
        <w:t xml:space="preserve">Commercial nonmarine invertebrate permit.</w:t>
        <w:t xml:space="preserve"> </w:t>
      </w:r>
      <w:r>
        <w:t xml:space="preserve"> </w:t>
      </w:r>
      <w:r>
        <w:t xml:space="preserve">Persons harvesting freshwater mussels, butterflies, moths, dragonflies or beetles for export, sale or commercial purposes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§24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may by rule:</w:t>
      </w:r>
    </w:p>
    <w:p>
      <w:pPr>
        <w:jc w:val="both"/>
        <w:spacing w:before="100" w:after="0"/>
        <w:ind w:start="720"/>
      </w:pPr>
      <w:r>
        <w:rPr/>
        <w:t>A</w:t>
        <w:t xml:space="preserve">.  </w:t>
      </w:r>
      <w:r>
        <w:rPr/>
      </w:r>
      <w:r>
        <w:t xml:space="preserve">Require reporting of commercial harvest activities, including at a minimum dates, locations and numbers collected by species;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Establish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§26 (RP).]</w:t>
      </w:r>
    </w:p>
    <w:p>
      <w:pPr>
        <w:jc w:val="both"/>
        <w:spacing w:before="100" w:after="0"/>
        <w:ind w:start="720"/>
      </w:pPr>
      <w:r>
        <w:rPr/>
        <w:t>D</w:t>
        <w:t xml:space="preserve">.  </w:t>
      </w:r>
      <w:r>
        <w:rPr/>
      </w:r>
      <w:r>
        <w:t xml:space="preserve">Require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 PL 2017, c. 205,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§12161. Taking of certain nonmarine invertebrates from the wild for commercial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§12161. Taking of certain nonmarine invertebrates from the wild for commercial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§12161. TAKING OF CERTAIN NONMARINE INVERTEBRATES FROM THE WILD FOR COMMERCIAL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