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Mi'kmaq Nation Tribal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PL 2023, c. 646,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§12260-A. Bear trapping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§12260-A. Bear trapping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§12260-A. BEAR TRAPPING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