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§12401. Attacking domestic animals or destroying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Attacking domestic animals or destroying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§12401. ATTACKING DOMESTIC ANIMALS OR DESTROYING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