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12554</w:t>
        <w:t xml:space="preserve">.  </w:t>
      </w:r>
      <w:r>
        <w:rPr>
          <w:b/>
        </w:rPr>
        <w:t xml:space="preserve">Disturbing baitfish traps or baitfish holding boxes</w:t>
      </w:r>
    </w:p>
    <w:p>
      <w:pPr>
        <w:jc w:val="both"/>
        <w:spacing w:before="100" w:after="100"/>
        <w:ind w:start="360"/>
        <w:ind w:firstLine="360"/>
      </w:pPr>
      <w:r>
        <w:rPr/>
      </w:r>
      <w:r>
        <w:rPr/>
      </w:r>
      <w:r>
        <w:t xml:space="preserve">A person may not disturb or take any baitfish trap or baitfish holding box or any fish from any baitfish trap or baitfish holding box other than that person's own without the consent of the owner of the baitfish trap or baitfish holding box.</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§12554. Disturbing baitfish traps or baitfish holding boxes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§12554. Disturbing baitfish traps or baitfish holding boxes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§12554. DISTURBING BAITFISH TRAPS OR BAITFISH HOLDING BOXES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